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13 — Finding 6: Versteckte Blätter mit Restposten</w:t>
      </w:r>
    </w:p>
    <w:p>
      <w:pPr>
        <w:jc w:val="left"/>
      </w:pPr>
      <w:r>
        <w:rPr>
          <w:b/>
        </w:rPr>
        <w:t>Aktenzeichen:</w:t>
      </w:r>
      <w:r>
        <w:t xml:space="preserve"> TR-QK-2026-PFX-0712</w:t>
      </w:r>
    </w:p>
    <w:p>
      <w:pPr>
        <w:jc w:val="left"/>
      </w:pPr>
      <w:r>
        <w:rPr>
          <w:b/>
        </w:rPr>
        <w:t>Finding-ID:</w:t>
      </w:r>
      <w:r>
        <w:t xml:space="preserve"> F-06</w:t>
      </w:r>
    </w:p>
    <w:p>
      <w:pPr>
        <w:jc w:val="left"/>
      </w:pPr>
      <w:r>
        <w:rPr>
          <w:b/>
        </w:rPr>
        <w:t>Schwere:</w:t>
      </w:r>
      <w:r>
        <w:t xml:space="preserve"> Hoch</w:t>
      </w:r>
    </w:p>
    <w:p>
      <w:pPr>
        <w:jc w:val="left"/>
      </w:pPr>
      <w:r>
        <w:rPr>
          <w:b/>
        </w:rPr>
        <w:t>Entdeckt:</w:t>
      </w:r>
      <w:r>
        <w:t xml:space="preserve"> 12. Januar 2026</w:t>
      </w:r>
    </w:p>
    <w:p/>
    <w:p>
      <w:pPr>
        <w:pStyle w:val="Heading2"/>
      </w:pPr>
      <w:r>
        <w:rPr>
          <w:rFonts w:ascii="Times New Roman" w:hAnsi="Times New Roman"/>
        </w:rPr>
        <w:t>Sachverhalt</w:t>
      </w:r>
    </w:p>
    <w:p>
      <w:pPr>
        <w:jc w:val="left"/>
      </w:pPr>
      <w:r>
        <w:t xml:space="preserve">Das Modell </w:t>
      </w:r>
      <w:r>
        <w:t>PFX-FoBP-Modell-v23-final.xlsx</w:t>
      </w:r>
      <w:r>
        <w:t xml:space="preserve"> enthält neben den 16 sichtbaren Arbeitsblättern zwei versteckte Blätter:</w:t>
      </w:r>
    </w:p>
    <w:p>
      <w:pPr>
        <w:pStyle w:val="Heading3"/>
      </w:pPr>
      <w:r>
        <w:rPr>
          <w:rFonts w:ascii="Times New Roman" w:hAnsi="Times New Roman"/>
        </w:rPr>
        <w:t xml:space="preserve">Blatt 1: </w:t>
      </w:r>
      <w:r>
        <w:rPr>
          <w:rFonts w:ascii="Times New Roman" w:hAnsi="Times New Roman"/>
        </w:rPr>
        <w:t>_BACKUP_PARAM</w:t>
      </w:r>
      <w:r>
        <w:rPr>
          <w:rFonts w:ascii="Times New Roman" w:hAnsi="Times New Roman"/>
        </w:rPr>
        <w:t xml:space="preserve"> (sehr versteckt, xlSheetVeryHidden)</w:t>
      </w:r>
    </w:p>
    <w:p>
      <w:pPr>
        <w:pStyle w:val="ListBullet"/>
      </w:pPr>
      <w:r>
        <w:t>Enthält Parametersätze aus Modell v19 (August/September 2025).</w:t>
      </w:r>
    </w:p>
    <w:p>
      <w:pPr>
        <w:pStyle w:val="ListBullet"/>
      </w:pPr>
      <w:r>
        <w:t>Keine aktiven Verknüpfungen zu anderen Blättern (verwaiste Daten).</w:t>
      </w:r>
    </w:p>
    <w:p>
      <w:pPr>
        <w:pStyle w:val="ListBullet"/>
      </w:pPr>
      <w:r>
        <w:t xml:space="preserve">Zinssatz in </w:t>
      </w:r>
      <w:r>
        <w:t>_BACKUP_PARAM!B12</w:t>
      </w:r>
      <w:r>
        <w:t>: 7,1 % — deutlich höher als aktuell verwendete 4,9 %.</w:t>
      </w:r>
    </w:p>
    <w:p>
      <w:pPr>
        <w:pStyle w:val="ListBullet"/>
      </w:pPr>
      <w:r>
        <w:t>Kein Risiko für aktuelle Berechnungen, aber dokumentarisch bedeutsam (zeigt früheren Zinssatz).</w:t>
      </w:r>
    </w:p>
    <w:p>
      <w:pPr>
        <w:pStyle w:val="Heading3"/>
      </w:pPr>
      <w:r>
        <w:rPr>
          <w:rFonts w:ascii="Times New Roman" w:hAnsi="Times New Roman"/>
        </w:rPr>
        <w:t xml:space="preserve">Blatt 2: </w:t>
      </w:r>
      <w:r>
        <w:rPr>
          <w:rFonts w:ascii="Times New Roman" w:hAnsi="Times New Roman"/>
        </w:rPr>
        <w:t>_RESTPOSTEN</w:t>
      </w:r>
      <w:r>
        <w:rPr>
          <w:rFonts w:ascii="Times New Roman" w:hAnsi="Times New Roman"/>
        </w:rPr>
        <w:t xml:space="preserve"> (sehr versteckt, xlSheetVeryHidden)</w:t>
      </w:r>
    </w:p>
    <w:p>
      <w:pPr>
        <w:pStyle w:val="ListBullet"/>
      </w:pPr>
      <w:r>
        <w:t>Enthält eine Tabelle mit 14 nicht aufgelösten Differenzposten aus Versionsübergängen v19–v22.</w:t>
      </w:r>
    </w:p>
    <w:p>
      <w:pPr>
        <w:pStyle w:val="ListBullet"/>
      </w:pPr>
      <w:r>
        <w:t>Gesamtsumme der Restposten: 87 TEUR (Passivaüberhang).</w:t>
      </w:r>
    </w:p>
    <w:p>
      <w:pPr>
        <w:pStyle w:val="ListBullet"/>
      </w:pPr>
      <w:r>
        <w:t xml:space="preserve">Drei Positionen sind als Formelverweise auf </w:t>
      </w:r>
      <w:r>
        <w:t>PLAN-BILANZ</w:t>
      </w:r>
      <w:r>
        <w:t xml:space="preserve"> verknüpft und beeinflussen indirekt die Bilanzsummenberechnung (obwohl das Blatt versteckt ist, sind die Bezüge aktiv).</w:t>
      </w:r>
    </w:p>
    <w:p/>
    <w:p>
      <w:pPr>
        <w:pStyle w:val="Heading2"/>
      </w:pPr>
      <w:r>
        <w:rPr>
          <w:rFonts w:ascii="Times New Roman" w:hAnsi="Times New Roman"/>
        </w:rPr>
        <w:t>Auswirkung</w:t>
      </w:r>
    </w:p>
    <w:p>
      <w:pPr>
        <w:jc w:val="left"/>
      </w:pPr>
      <w:r>
        <w:t xml:space="preserve">Die aktiven Verknüpfungen aus </w:t>
      </w:r>
      <w:r>
        <w:t>_RESTPOSTEN</w:t>
      </w:r>
      <w:r>
        <w:t xml:space="preserve"> in </w:t>
      </w:r>
      <w:r>
        <w:t>PLAN-BILANZ</w:t>
      </w:r>
      <w:r>
        <w:t xml:space="preserve"> bedeuten, dass Teile der Bilanzsummenberechnung von einem für den Prüfer nicht sichtbaren Blatt abhängen. Dies verletzt fundamentale Transparenzanforderungen.</w:t>
      </w:r>
    </w:p>
    <w:p>
      <w:pPr>
        <w:jc w:val="left"/>
      </w:pPr>
      <w:r>
        <w:t xml:space="preserve">Der Passivaüberhang von 87 TEUR aus </w:t>
      </w:r>
      <w:r>
        <w:t>_RESTPOSTEN</w:t>
      </w:r>
      <w:r>
        <w:t xml:space="preserve"> ist in der ausgewiesenen Bilanzsumme enthalten, ohne dass er separat erklärt oder gerechtfertigt wird.</w:t>
      </w:r>
    </w:p>
    <w:p/>
    <w:p>
      <w:pPr>
        <w:pStyle w:val="Heading2"/>
      </w:pPr>
      <w:r>
        <w:rPr>
          <w:rFonts w:ascii="Times New Roman" w:hAnsi="Times New Roman"/>
        </w:rPr>
        <w:t>Rechtliche Relevanz</w:t>
      </w:r>
    </w:p>
    <w:p>
      <w:pPr>
        <w:jc w:val="left"/>
      </w:pPr>
      <w:r>
        <w:t>Die Verwendung versteckter Blätter mit aktiven Verknüpfungen in einem Dokument, das als Grundlage für Kreditentscheidungen und Jahresabschlussprüfung dient, ist mit den Anforderungen an Transparenz und Nachvollziehbarkeit gemäß IDW S 11 unvereinbar. Im Kontext des Manipulationsverdachts (Finding 4) verstärkt dieser Befund den Gesamteindruck mangelhafter Modellintegrität.</w:t>
      </w:r>
    </w:p>
    <w:p/>
    <w:p>
      <w:pPr>
        <w:pStyle w:val="Heading2"/>
      </w:pPr>
      <w:r>
        <w:rPr>
          <w:rFonts w:ascii="Times New Roman" w:hAnsi="Times New Roman"/>
        </w:rPr>
        <w:t>Empfehlung</w:t>
      </w:r>
    </w:p>
    <w:p>
      <w:pPr>
        <w:jc w:val="left"/>
      </w:pPr>
      <w:r>
        <w:t xml:space="preserve">Sofortige Offenlegung beider versteckter Blätter gegenüber dem Wirtschaftsprüfer. Auflösung aller aktiven Verknüpfungen aus </w:t>
      </w:r>
      <w:r>
        <w:t>_RESTPOSTEN</w:t>
      </w:r>
      <w:r>
        <w:t>. Entscheidung über Einbeziehung oder Deletion beider Blätter mit Dokumentation.</w:t>
      </w:r>
    </w:p>
    <w:p>
      <w:pPr>
        <w:jc w:val="left"/>
      </w:pPr>
      <w:r>
        <w:rPr>
          <w:b/>
        </w:rPr>
        <w:t>Verantwortlich:</w:t>
      </w:r>
      <w:r>
        <w:t xml:space="preserve"> CFO Pellbach-Roosendaal.</w:t>
      </w:r>
    </w:p>
    <w:p>
      <w:pPr>
        <w:jc w:val="left"/>
      </w:pPr>
      <w:r>
        <w:rPr>
          <w:b/>
        </w:rPr>
        <w:t>Frist:</w:t>
      </w:r>
      <w:r>
        <w:t xml:space="preserve"> 1 Arbeitstag.</w:t>
      </w:r>
    </w:p>
    <w:p>
      <w:pPr>
        <w:jc w:val="left"/>
      </w:pPr>
      <w:r>
        <w:rPr>
          <w:b/>
        </w:rPr>
        <w:t>Quellen:</w:t>
      </w:r>
      <w:r>
        <w:t xml:space="preserve"> IDW S 11 Tz. 22 (Transparenz und Nachvollziehbarkeit), https://www.idw.de; HGB § 239 (Buchführungsgrundsätze), https://dejure.org/gesetze/HGB/239.html.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