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Finding 7: Fehlende Quellen für Szenarioparameter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Finding-ID:</w:t>
      </w:r>
      <w:r>
        <w:t xml:space="preserve"> F-07</w:t>
      </w:r>
    </w:p>
    <w:p>
      <w:pPr>
        <w:jc w:val="left"/>
      </w:pPr>
      <w:r>
        <w:rPr>
          <w:b/>
        </w:rPr>
        <w:t>Schwere:</w:t>
      </w:r>
      <w:r>
        <w:t xml:space="preserve"> Mittel</w:t>
      </w:r>
    </w:p>
    <w:p>
      <w:pPr>
        <w:jc w:val="left"/>
      </w:pPr>
      <w:r>
        <w:rPr>
          <w:b/>
        </w:rPr>
        <w:t>Entdeckt:</w:t>
      </w:r>
      <w:r>
        <w:t xml:space="preserve"> 12. Januar 2026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 xml:space="preserve">Das Blatt </w:t>
      </w:r>
      <w:r>
        <w:t>ANNAHMEN</w:t>
      </w:r>
      <w:r>
        <w:t xml:space="preserve"> enthält narrative Beschreibungen der Planungsannahmen, jedoch fehlen für 11 von 19 wesentlichen Parametern die Quellenangaben bzw. Begründungen: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Blatt / Zelle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Wert v23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 angegeben?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Umsatzwachstum 2027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PARAM!B5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17,1 %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— Annahme CFO ohne Beleg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Zinssatz KK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ZINS-SCHULDEN!C5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4,9 %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(hardcoded, Finding 4)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DSO (Forderungslaufzeit)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PARAM!B19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 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Stellenabbau FTE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PARAM!B31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 FTE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(Organigramm-Entwurf)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Abfindungsmonate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PERSONAL!G18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(hardcoded)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Mietkosten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PLAN-GuV!C44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184 TEUR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(Mietvertrag)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IT-Wartung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PLAN-GuV!C52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210 TEUR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Sanierungskredit-Zinssatz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PARAM!B28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5,75 %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— keine Bankbestätigung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Liquiditätsmindestbestand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PARAM!B25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350 TEUR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— interne Annahme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Recovery Neuverträge 2027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PLAN-GuV!E15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110 Stück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— kein Vertriebsplan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Pensionsrückstellung Zuführung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PERSONAL!G55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480 TEUR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(Finding 5)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IDW-S-11-Anforderung</w:t>
      </w:r>
    </w:p>
    <w:p>
      <w:pPr>
        <w:jc w:val="left"/>
      </w:pPr>
      <w:r>
        <w:t>IDW S 11 Tz. 34 verlangt explizit: "Die der Prognose zugrunde liegenden Annahmen sind vollständig darzustellen und zu belegen. Sind Annahmen nicht durch externe Quellen belegbar, ist dies zu erläutern und die Angemessenheit der Annahme zu begründen."</w:t>
      </w:r>
    </w:p>
    <w:p>
      <w:pPr>
        <w:jc w:val="left"/>
      </w:pPr>
      <w:r>
        <w:t>Das Modell v23 erfüllt diese Anforderung für 11 von 19 wesentlichen Parametern nicht.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Für jeden Parameter ohne Quellenangabe ist entweder: (a) eine externe Quelle (Marktbericht, Bankschreiben, Gutachten, Vertrag) nachzureichen, oder (b) eine explizite schriftliche Begründung der Annahme im Modell zu dokumentieren.</w:t>
      </w:r>
    </w:p>
    <w:p>
      <w:pPr>
        <w:jc w:val="left"/>
      </w:pPr>
      <w:r>
        <w:rPr>
          <w:b/>
        </w:rPr>
        <w:t>Verantwortlich:</w:t>
      </w:r>
      <w:r>
        <w:t xml:space="preserve"> CFO Pellbach-Roosendaal.</w:t>
      </w:r>
    </w:p>
    <w:p>
      <w:pPr>
        <w:jc w:val="left"/>
      </w:pPr>
      <w:r>
        <w:rPr>
          <w:b/>
        </w:rPr>
        <w:t>Frist:</w:t>
      </w:r>
      <w:r>
        <w:t xml:space="preserve"> 5 Arbeitstage.</w:t>
      </w:r>
    </w:p>
    <w:p>
      <w:pPr>
        <w:jc w:val="left"/>
      </w:pPr>
      <w:r>
        <w:rPr>
          <w:b/>
        </w:rPr>
        <w:t>Quellen:</w:t>
      </w:r>
      <w:r>
        <w:t xml:space="preserve"> IDW S 11 Tz. 34–38, https://www.idw.de.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