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Finding 10: IDW-S-11-Konformität der Fortbestehensprognose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F-10</w:t>
      </w:r>
    </w:p>
    <w:p>
      <w:pPr>
        <w:jc w:val="left"/>
      </w:pPr>
      <w:r>
        <w:rPr>
          <w:b/>
        </w:rPr>
        <w:t>Schwere:</w:t>
      </w:r>
      <w:r>
        <w:t xml:space="preserve"> Kritisch</w:t>
      </w:r>
    </w:p>
    <w:p>
      <w:pPr>
        <w:jc w:val="left"/>
      </w:pPr>
      <w:r>
        <w:rPr>
          <w:b/>
        </w:rPr>
        <w:t>Entdeckt:</w:t>
      </w:r>
      <w:r>
        <w:t xml:space="preserve"> 13.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Die Fortbestehensprognose in Modell v23 erfüllt die Anforderungen des IDW S 11 (Beurteilung des Vorliegens von Insolvenzeröffnungsgründen, Fassung 2021) in mehreren wesentlichen Punkten nicht.</w:t>
      </w:r>
    </w:p>
    <w:p/>
    <w:p>
      <w:pPr>
        <w:pStyle w:val="Heading2"/>
      </w:pPr>
      <w:r>
        <w:rPr>
          <w:rFonts w:ascii="Times New Roman" w:hAnsi="Times New Roman"/>
        </w:rPr>
        <w:t>IDW-S-11-Konformitätsmatrix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IDW-S-11-Anforderung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Tz.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Zweistufige Prüfung GuV + Liquidität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19–21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Liquiditätsplan monatlich vorhanden; GuV-Plan nur quartalsweise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Prognosezeitraum 24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Dokumentation Annahmen mit Quellen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34–38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7: 11 von 19 Parametern ohne Quelle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Adverses Szenario (Stress/Downside)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43–47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8: Stressszenario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Konsistenz Modell / keine Zirkularbezüge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22–24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1: Zirkularbezug CF/Zinsen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Transparenz aller Modellteile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6: Versteckte Sheets mit aktiven Bezügen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Sanierungsmaßnahmen mit Umsetzungsplan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39–42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Maßnahmen ohne Verantwortliche und Meilensteine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Unabhängigkeit von Konfigurationseinstellungen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1: Iterationsabhängigkeit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VBA-Eingriffe in Planwerte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9: Makro überschreibt Werte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Versionsdokumentation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4: undokumentierte Änderung v22→v23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7 von 10 wesentlichen IDW-S-11-Anforderungen nicht oder nur teilweise erfüllt.</w:t>
      </w:r>
    </w:p>
    <w:p/>
    <w:p>
      <w:pPr>
        <w:pStyle w:val="Heading2"/>
      </w:pPr>
      <w:r>
        <w:rPr>
          <w:rFonts w:ascii="Times New Roman" w:hAnsi="Times New Roman"/>
        </w:rPr>
        <w:t>Insolvenzrechtliche Konsequenz</w:t>
      </w:r>
    </w:p>
    <w:p>
      <w:pPr>
        <w:jc w:val="left"/>
      </w:pPr>
      <w:r>
        <w:t>Wenn das Modell v23 keine IDW-S-11-konforme Fortbestehensprognose darstellt, entfällt die entlastende Wirkung für GF Dr. Vellbruck-Steinheim im Hinblick auf die Insolvenzantragspflicht nach § 15a InsO. Der GF ist nach § 15a InsO verpflichtet, ohne schuldhaftes Zögern — spätestens drei Wochen nach Eintritt der Zahlungsunfähigkeit oder Überschuldung — Insolvenzantrag zu stellen.</w:t>
      </w:r>
    </w:p>
    <w:p>
      <w:pPr>
        <w:jc w:val="left"/>
      </w:pPr>
      <w:r>
        <w:t>Die Kombination aus nicht IDW-S-11-konformer Fortbestehensprognose und den Korrekturbefunden des Reviewers (kumulierte Gesamtauswirkung auf Liquiditätsergebnis: ca. –507 TEUR) lässt offen, ob nach Korrektur noch eine positive Fortbestehensprognose vorliegt.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Vor Korrektur der Findings muss GF Dr. Vellbruck-Steinheim eine eigenständige anwaltliche und insolvenzrechtliche Beratung einholen:</w:t>
      </w:r>
    </w:p>
    <w:p>
      <w:pPr>
        <w:pStyle w:val="ListBullet"/>
      </w:pPr>
      <w:r>
        <w:t>Beurteilung, ob aktuell Zahlungsunfähigkeit (§ 17 InsO) oder Überschuldung (§ 19 InsO) vorliegt.</w:t>
      </w:r>
    </w:p>
    <w:p>
      <w:pPr>
        <w:pStyle w:val="ListBullet"/>
      </w:pPr>
      <w:r>
        <w:t>Prüfung, ob Insolvenzantragspflicht bereits ausgelöst ist.</w:t>
      </w:r>
    </w:p>
    <w:p>
      <w:pPr>
        <w:jc w:val="left"/>
      </w:pPr>
      <w:r>
        <w:rPr>
          <w:b/>
        </w:rPr>
        <w:t>Quellen:</w:t>
      </w:r>
      <w:r>
        <w:t xml:space="preserve"> IDW S 11 (vollständiger Standard), https://www.idw.de; InsO § 15a: https://dejure.org/gesetze/InsO/15a.html; InsO §§ 17, 19: https://dejure.org/gesetze/InsO/17.html und https://dejure.org/gesetze/InsO/19.html; AktG § 91 (Risikofrüherkennung, analog GmbH): https://dejure.org/gesetze/AktG/91.html.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