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Handlungsempfehlungen und Fix-Roadmap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15. Januar 2026</w:t>
      </w:r>
    </w:p>
    <w:p/>
    <w:p>
      <w:pPr>
        <w:pStyle w:val="Heading2"/>
      </w:pPr>
      <w:r>
        <w:rPr>
          <w:rFonts w:ascii="Times New Roman" w:hAnsi="Times New Roman"/>
        </w:rPr>
        <w:t>Übersicht Priorisierung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Sofort (&lt; 24h)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Makro löschen, Modell sperren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Sofort (&lt; 24h)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Versteckte Sheets offenlegen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Dringend (&lt; 3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Zirkularität auflösen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 + Modellentwickler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Dringend (&lt; 3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SUM-Formel Bilanzsumme korrigieren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Dringend (&lt; 3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Zinssatz auf marktkonform zurücksetzen + Quelle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 (&lt; 5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Alle 47 Hardcoded-Werte durch Formeln ersetzen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Modellentwickler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 (&lt; 5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Doppelbuchung Rückstellung korrigieren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 (&lt; 7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Quellenangaben für alle 11 Parameter nachliefern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 (&lt; 7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Stressszenario einarbeiten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 + Modellentwickler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 (&lt; 10 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F-10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IDW-S-11-Gesamtkonformität prüfen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Reviewer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Sanierungsalternative: Sanierungsgutachten IDW S 6</w:t>
      </w:r>
    </w:p>
    <w:p>
      <w:pPr>
        <w:jc w:val="left"/>
      </w:pPr>
      <w:r>
        <w:t>Falls nach vollständiger Korrektur der Findings die Fortbestehensprognose negativ bleibt (Stressszenario), empfiehlt der Reviewer die Beauftragung eines vollständigen Sanierungsgutachtens nach IDW S 6 (Anforderungen an Sanierungskonzepte). Ein IDW-S-6-Gutachten geht über die Fortbestehensprognose hinaus und umfasst:</w:t>
      </w:r>
    </w:p>
    <w:p>
      <w:pPr>
        <w:pStyle w:val="ListBullet"/>
      </w:pPr>
      <w:r>
        <w:t>Krisenursachenanalyse.</w:t>
      </w:r>
    </w:p>
    <w:p>
      <w:pPr>
        <w:pStyle w:val="ListBullet"/>
      </w:pPr>
      <w:r>
        <w:t>Leitbild des sanierten Unternehmens.</w:t>
      </w:r>
    </w:p>
    <w:p>
      <w:pPr>
        <w:pStyle w:val="ListBullet"/>
      </w:pPr>
      <w:r>
        <w:t>Sanierungsmaßnahmen mit Umsetzungsplan.</w:t>
      </w:r>
    </w:p>
    <w:p>
      <w:pPr>
        <w:pStyle w:val="ListBullet"/>
      </w:pPr>
      <w:r>
        <w:t>Nachhaltigkeitsprognose.</w:t>
      </w:r>
    </w:p>
    <w:p>
      <w:pPr>
        <w:jc w:val="left"/>
      </w:pPr>
      <w:r>
        <w:t>Ein IDW-S-6-Gutachten hätte gegenüber der Mittelstandsbank Nordwest eG höhere Überzeugungskraft als eine Fortbestehensprognose allein.</w:t>
      </w:r>
    </w:p>
    <w:p/>
    <w:p>
      <w:pPr>
        <w:pStyle w:val="Heading2"/>
      </w:pPr>
      <w:r>
        <w:rPr>
          <w:rFonts w:ascii="Times New Roman" w:hAnsi="Times New Roman"/>
        </w:rPr>
        <w:t>Insolvenzrechtliche Parallelberatung</w:t>
      </w:r>
    </w:p>
    <w:p>
      <w:pPr>
        <w:jc w:val="left"/>
      </w:pPr>
      <w:r>
        <w:t>Unabhängig vom Modellreview muss GF Dr. Vellbruck-Steinheim unverzüglich:</w:t>
      </w:r>
    </w:p>
    <w:p>
      <w:pPr>
        <w:pStyle w:val="ListNumber"/>
      </w:pPr>
      <w:r>
        <w:t>Insolvenzrechtliche Beratung durch Fachanwalt für Insolvenzrecht einholen.</w:t>
      </w:r>
    </w:p>
    <w:p>
      <w:pPr>
        <w:pStyle w:val="ListNumber"/>
      </w:pPr>
      <w:r>
        <w:t>Prüfung § 17 InsO (Zahlungsunfähigkeit): 3-Wochen-Liquiditätstest.</w:t>
      </w:r>
    </w:p>
    <w:p>
      <w:pPr>
        <w:pStyle w:val="ListNumber"/>
      </w:pPr>
      <w:r>
        <w:t>Prüfung § 19 InsO (Überschuldung): modifizierter Überschuldungsbegriff.</w:t>
      </w:r>
    </w:p>
    <w:p>
      <w:pPr>
        <w:pStyle w:val="ListNumber"/>
      </w:pPr>
      <w:r>
        <w:t>Ggf. strafrechtliche Beratung (§ 283b StGB, § 15a InsO Straftatbestand).</w:t>
      </w:r>
    </w:p>
    <w:p>
      <w:pPr>
        <w:jc w:val="left"/>
      </w:pPr>
      <w:r>
        <w:rPr>
          <w:b/>
        </w:rPr>
        <w:t>Quellen:</w:t>
      </w:r>
      <w:r>
        <w:t xml:space="preserve"> IDW S 6 (Sanierungskonzepte), https://www.idw.de; InsO §§ 15a, 17, 19: https://dejure.org/gesetze/InsO/15a.html; StGB § 283b: https://dejure.org/gesetze/StGB/283b.html.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