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19 — Vergleichsreview v22 vs. v23</w:t>
      </w:r>
    </w:p>
    <w:p>
      <w:pPr>
        <w:jc w:val="left"/>
      </w:pPr>
      <w:r>
        <w:rPr>
          <w:b/>
        </w:rPr>
        <w:t>Aktenzeichen:</w:t>
      </w:r>
      <w:r>
        <w:t xml:space="preserve"> TR-QK-2026-PFX-0712</w:t>
      </w:r>
    </w:p>
    <w:p>
      <w:pPr>
        <w:jc w:val="left"/>
      </w:pPr>
      <w:r>
        <w:rPr>
          <w:b/>
        </w:rPr>
        <w:t>Datum:</w:t>
      </w:r>
      <w:r>
        <w:t xml:space="preserve"> 13. Januar 2026</w:t>
      </w:r>
    </w:p>
    <w:p/>
    <w:p>
      <w:pPr>
        <w:pStyle w:val="Heading2"/>
      </w:pPr>
      <w:r>
        <w:rPr>
          <w:rFonts w:ascii="Times New Roman" w:hAnsi="Times New Roman"/>
        </w:rPr>
        <w:t>Methodik</w:t>
      </w:r>
    </w:p>
    <w:p>
      <w:pPr>
        <w:jc w:val="left"/>
      </w:pPr>
      <w:r>
        <w:t>Der Reviewer hat beide Versionen (v22: 28.11.2025, v23: 05.01.2026) parallel geöffnet und einen systematischen Diff aller Zellen durchgeführt. Werkzeug: eigenes Python-Script auf Basis von openpyxl (xlsxdiff-Methode). Geprüft: alle Blätter außer versteckte Sheets (in v22 nicht vorhanden).</w:t>
      </w:r>
    </w:p>
    <w:p/>
    <w:p>
      <w:pPr>
        <w:pStyle w:val="Heading2"/>
      </w:pPr>
      <w:r>
        <w:rPr>
          <w:rFonts w:ascii="Times New Roman" w:hAnsi="Times New Roman"/>
        </w:rPr>
        <w:t>Übersicht geänderter Bereiche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Blatt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Anzahl Zellveränderungen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Davon formelrelevant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Dokumentiert im Changelog?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PLAN-GuV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Teilweise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ZINS-SCHULDEN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Nein (kritisch)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PLAN-CF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Teilweise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PLAN-BILANZ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SZENARIEN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Ja (Notiz-Update)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ZUSAMMENFASSUNG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Ja (Design)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PARAM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PERSONAL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Teilweise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Kritische Einzeldiffs</w:t>
      </w:r>
    </w:p>
    <w:p>
      <w:pPr>
        <w:pStyle w:val="Heading3"/>
      </w:pPr>
      <w:r>
        <w:rPr>
          <w:rFonts w:ascii="Times New Roman" w:hAnsi="Times New Roman"/>
        </w:rPr>
        <w:t>1. ZINS-SCHULDEN!C5 (kritisch, Finding 4)</w:t>
      </w:r>
    </w:p>
    <w:p>
      <w:pPr>
        <w:jc w:val="left"/>
      </w:pPr>
      <w:r>
        <w:t>```</w:t>
      </w:r>
    </w:p>
    <w:p>
      <w:pPr>
        <w:jc w:val="left"/>
      </w:pPr>
      <w:r>
        <w:t>v22: =PARAM!B12    (Formelverknüpfung, Wert: 6,2%)</w:t>
      </w:r>
    </w:p>
    <w:p>
      <w:pPr>
        <w:jc w:val="left"/>
      </w:pPr>
      <w:r>
        <w:t>v23: 0,049          (Hardcoded, Wert: 4,9%)</w:t>
      </w:r>
    </w:p>
    <w:p>
      <w:pPr>
        <w:jc w:val="left"/>
      </w:pPr>
      <w:r>
        <w:t>```</w:t>
      </w:r>
    </w:p>
    <w:p>
      <w:pPr>
        <w:pStyle w:val="Heading3"/>
      </w:pPr>
      <w:r>
        <w:rPr>
          <w:rFonts w:ascii="Times New Roman" w:hAnsi="Times New Roman"/>
        </w:rPr>
        <w:t>2. PLAN-CF!H8 (Finding 2)</w:t>
      </w:r>
    </w:p>
    <w:p>
      <w:pPr>
        <w:jc w:val="left"/>
      </w:pPr>
      <w:r>
        <w:t>```</w:t>
      </w:r>
    </w:p>
    <w:p>
      <w:pPr>
        <w:jc w:val="left"/>
      </w:pPr>
      <w:r>
        <w:t>v22: =PARAM!B19    (Formelbezug DSO)</w:t>
      </w:r>
    </w:p>
    <w:p>
      <w:pPr>
        <w:jc w:val="left"/>
      </w:pPr>
      <w:r>
        <w:t>v23: 42             (Hardcoded)</w:t>
      </w:r>
    </w:p>
    <w:p>
      <w:pPr>
        <w:jc w:val="left"/>
      </w:pPr>
      <w:r>
        <w:t>```</w:t>
      </w:r>
    </w:p>
    <w:p>
      <w:pPr>
        <w:pStyle w:val="Heading3"/>
      </w:pPr>
      <w:r>
        <w:rPr>
          <w:rFonts w:ascii="Times New Roman" w:hAnsi="Times New Roman"/>
        </w:rPr>
        <w:t>3. PLAN-GuV!F22 (Finding 2)</w:t>
      </w:r>
    </w:p>
    <w:p>
      <w:pPr>
        <w:jc w:val="left"/>
      </w:pPr>
      <w:r>
        <w:t>```</w:t>
      </w:r>
    </w:p>
    <w:p>
      <w:pPr>
        <w:jc w:val="left"/>
      </w:pPr>
      <w:r>
        <w:t>v22: =PARAM!B5     (Wachstumsrate Q3 2026)</w:t>
      </w:r>
    </w:p>
    <w:p>
      <w:pPr>
        <w:jc w:val="left"/>
      </w:pPr>
      <w:r>
        <w:t>v23: 0,072          (Hardcoded)</w:t>
      </w:r>
    </w:p>
    <w:p>
      <w:pPr>
        <w:jc w:val="left"/>
      </w:pPr>
      <w:r>
        <w:t>```</w:t>
      </w:r>
    </w:p>
    <w:p>
      <w:pPr>
        <w:pStyle w:val="Heading3"/>
      </w:pPr>
      <w:r>
        <w:rPr>
          <w:rFonts w:ascii="Times New Roman" w:hAnsi="Times New Roman"/>
        </w:rPr>
        <w:t>4. PLAN-BILANZ!D55 (Finding 5)</w:t>
      </w:r>
    </w:p>
    <w:p>
      <w:pPr>
        <w:jc w:val="left"/>
      </w:pPr>
      <w:r>
        <w:t>```</w:t>
      </w:r>
    </w:p>
    <w:p>
      <w:pPr>
        <w:jc w:val="left"/>
      </w:pPr>
      <w:r>
        <w:t>v22: 460 (korrekte Rückstellung)</w:t>
      </w:r>
    </w:p>
    <w:p>
      <w:pPr>
        <w:jc w:val="left"/>
      </w:pPr>
      <w:r>
        <w:t>v23: 480 + neue Zeile D56 mit 480 (Doppelbuchung)</w:t>
      </w:r>
    </w:p>
    <w:p>
      <w:pPr>
        <w:jc w:val="left"/>
      </w:pPr>
      <w:r>
        <w:t>```</w:t>
      </w:r>
    </w:p>
    <w:p>
      <w:pPr>
        <w:pStyle w:val="Heading3"/>
      </w:pPr>
      <w:r>
        <w:rPr>
          <w:rFonts w:ascii="Times New Roman" w:hAnsi="Times New Roman"/>
        </w:rPr>
        <w:t>5. VBA Module1 (Finding 9)</w:t>
      </w:r>
    </w:p>
    <w:p>
      <w:pPr>
        <w:jc w:val="left"/>
      </w:pPr>
      <w:r>
        <w:t>```</w:t>
      </w:r>
    </w:p>
    <w:p>
      <w:pPr>
        <w:jc w:val="left"/>
      </w:pPr>
      <w:r>
        <w:t>v22: nicht vorhanden</w:t>
      </w:r>
    </w:p>
    <w:p>
      <w:pPr>
        <w:jc w:val="left"/>
      </w:pPr>
      <w:r>
        <w:t>v23: vorhanden, enthält UpdateSollwerte Prozedur</w:t>
      </w:r>
    </w:p>
    <w:p>
      <w:pPr>
        <w:jc w:val="left"/>
      </w:pPr>
      <w:r>
        <w:t>```</w:t>
      </w:r>
    </w:p>
    <w:p/>
    <w:p>
      <w:pPr>
        <w:pStyle w:val="Heading2"/>
      </w:pPr>
      <w:r>
        <w:rPr>
          <w:rFonts w:ascii="Times New Roman" w:hAnsi="Times New Roman"/>
        </w:rPr>
        <w:t>Gesamtauswirkung der v22→v23 Änderungen auf Liquiditätsergebnis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Änderung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Auswirkung auf Liquiditätsprognose 2026–2027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Zinssatzabsenkung ZS!C5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+186 TEUR (zu positiv)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Hardcoded DSO (CF!H8)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+95 TEUR (zu positiv)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Hardcoded Wachstum (GuV!F22)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+38 TEUR (zu positiv)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Doppelrückstellung BILANZ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kein direkter Liquiditätseffekt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Übrige Änderungen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+22 TEUR (netto zu positiv)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Summe Verzerrung v23 ggü. v22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+341 TEUR (zu positiv)</w:t>
            </w:r>
          </w:p>
        </w:tc>
      </w:tr>
    </w:tbl>
    <w:p>
      <w:pPr>
        <w:jc w:val="left"/>
      </w:pPr>
      <w:r>
        <w:t>Das bedeutet: v23 weist gegenüber v22 ein um 341 TEUR besseres Liquiditätsergebnis aus, das auf methodisch nicht belastbaren Änderungen beruht.</w:t>
      </w:r>
    </w:p>
    <w:p>
      <w:pPr>
        <w:jc w:val="left"/>
      </w:pPr>
      <w:r>
        <w:rPr>
          <w:b/>
        </w:rPr>
        <w:t>Quellen:</w:t>
      </w:r>
      <w:r>
        <w:t xml:space="preserve"> IDW S 11 Tz. 34 (Dokumentation von Modelländerungen), https://www.idw.de; HGB § 238 (Buchführungspflicht): https://dejure.org/gesetze/HGB/238.html.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