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Pferdehof Auenwiese, Veterinäramt, Tierschutzverein, Einstellerinnen, Hufschmied und Verwaltungsgericht.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Mängel in Fütterung, Hufpflege, Unterstand und Dokumentation führen zu Auflagen, Kosten und Sofortvollzug.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TierSchG, Tierschutz-Nutztierhaltungsverordnung soweit einschlägig, VwVfG/VwGO, Ordnungsverfügung, Zwangsmittel.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