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Tierschutzrecht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