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Umweltverbandsakte Moorbach: Windpark, UVP-Vorprüfung, Artenschutz, UIG-Akte, Einwendung, Eilantrag und § 47-VwGO-Reserve.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