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Mandatsnotiz BG-Fristsache</w:t>
      </w:r>
    </w:p>
    <w:p>
      <w:pPr>
        <w:pStyle w:val="Heading2"/>
      </w:pPr>
      <w:r>
        <w:rPr>
          <w:rFonts w:ascii="Times New Roman" w:hAnsi="Times New Roman"/>
        </w:rPr>
        <w:t>1. Mandant</w:t>
      </w:r>
    </w:p>
    <w:p>
      <w:pPr>
        <w:jc w:val="left"/>
      </w:pPr>
      <w:r>
        <w:t>Mandant ist Karsten Möller, geboren am 19.08.1971, Lagerleiter bei MoselLogistik GmbH, Hafenstraße 28, 54293 Trier. Beschäftigt seit 2011, zuletzt Schichtverantwortlicher für Wareneingang und Ladungssicherung.</w:t>
      </w:r>
    </w:p>
    <w:p>
      <w:pPr>
        <w:pStyle w:val="Heading2"/>
      </w:pPr>
      <w:r>
        <w:rPr>
          <w:rFonts w:ascii="Times New Roman" w:hAnsi="Times New Roman"/>
        </w:rPr>
        <w:t>2. Ereignis</w:t>
      </w:r>
    </w:p>
    <w:p>
      <w:pPr>
        <w:jc w:val="left"/>
      </w:pPr>
      <w:r>
        <w:t>Am 03.04.2026 gegen 6:42 Uhr stürzte der Mandant an Rampe 4 beim Zurückziehen einer verklemmten Überladebrücke. Er schlug mit rechter Schulter und Kopfkante auf den Betonboden. Der Staplerfahrer Bastian Kopp sah den Sturz nicht direkt, hörte aber den Aufprall. Kamera Rampe 4 fiel nach Angaben des Arbeitgebers zwischen 6:30 und 7:10 Uhr aus.</w:t>
      </w:r>
    </w:p>
    <w:p>
      <w:pPr>
        <w:pStyle w:val="Heading2"/>
      </w:pPr>
      <w:r>
        <w:rPr>
          <w:rFonts w:ascii="Times New Roman" w:hAnsi="Times New Roman"/>
        </w:rPr>
        <w:t>3. Streitstand</w:t>
      </w:r>
    </w:p>
    <w:p>
      <w:pPr>
        <w:jc w:val="left"/>
      </w:pPr>
      <w:r>
        <w:t>Die Berufsgenossenschaft Handel und Warenlogistik lehnte mit Bescheid vom 18.06.2026 die Anerkennung als Arbeitsunfall ab. Begründung: kein nachgewiesenes äußeres Ereignis, degenerativer Vorschaden der rechten Schulter, mögliches Ausrutschen ohne betriebliche Ursache. Zugang am 22.06.2026, Widerspruchsfrist bis 22.07.2026.</w:t>
      </w:r>
    </w:p>
    <w:p>
      <w:pPr>
        <w:pStyle w:val="Heading2"/>
      </w:pPr>
      <w:r>
        <w:rPr>
          <w:rFonts w:ascii="Times New Roman" w:hAnsi="Times New Roman"/>
        </w:rPr>
        <w:t>4. Rentenberaterlicher Fokus</w:t>
      </w:r>
    </w:p>
    <w:p>
      <w:pPr>
        <w:jc w:val="left"/>
      </w:pPr>
      <w:r>
        <w:t>Arbeitsunfallanerkennung, Heilbehandlung, Verletztengeld, mögliche Minderung der Erwerbsfähigkeit und Schnittstelle zur späteren Erwerbsminderungsrente. Arbeitsrechtliche Vorwürfe gegen den Arbeitgeber und Schmerzensgeld werden nur als Abgrenzung notiert und nicht übernommen.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