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Durchgangsarztbericht, Auszug</w:t>
      </w:r>
    </w:p>
    <w:p>
      <w:pPr>
        <w:pStyle w:val="Heading2"/>
      </w:pPr>
      <w:r>
        <w:rPr>
          <w:rFonts w:ascii="Times New Roman" w:hAnsi="Times New Roman"/>
        </w:rPr>
        <w:t>1. Erstbehandlung</w:t>
      </w:r>
    </w:p>
    <w:p>
      <w:pPr>
        <w:jc w:val="left"/>
      </w:pPr>
      <w:r>
        <w:t>Durchgangsarzt Dr. Reiner Kauth, Brüderkrankenhaus Trier, Untersuchung am 03.04.2026 um 8:15 Uhr. Diagnose: Schulterprellung rechts, Verdacht Rotatorenmanschettenruptur, Schädelprellung ohne Bewusstlosigkeit, Schürfwunden rechter Ellenbogen.</w:t>
      </w:r>
    </w:p>
    <w:p>
      <w:pPr>
        <w:pStyle w:val="Heading2"/>
      </w:pPr>
      <w:r>
        <w:rPr>
          <w:rFonts w:ascii="Times New Roman" w:hAnsi="Times New Roman"/>
        </w:rPr>
        <w:t>2. Anamnese</w:t>
      </w:r>
    </w:p>
    <w:p>
      <w:pPr>
        <w:jc w:val="left"/>
      </w:pPr>
      <w:r>
        <w:t>Patient berichtet Sturz von Rampe bei der Arbeit. Kein Schwindel vor dem Sturz, keine Synkope. Schmerzen sofort in rechter Schulter, Armheben nicht möglich. Der Patient gibt an, er habe seit Jahren gelegentlich Schulterschmerzen nach Handball, aber nie Arbeitsunfähigkeit wegen Schulter gehabt.</w:t>
      </w:r>
    </w:p>
    <w:p>
      <w:pPr>
        <w:pStyle w:val="Heading2"/>
      </w:pPr>
      <w:r>
        <w:rPr>
          <w:rFonts w:ascii="Times New Roman" w:hAnsi="Times New Roman"/>
        </w:rPr>
        <w:t>3. Weiteres Vorgehen</w:t>
      </w:r>
    </w:p>
    <w:p>
      <w:pPr>
        <w:jc w:val="left"/>
      </w:pPr>
      <w:r>
        <w:t>MRT empfohlen, Arbeitsunfähigkeit zunächst bis 17.04.2026. D-Arzt vermerkt: Unfallzusammenhang möglich, Vorschaden abklärungsbedürftig. Bei bestätigter frischer Ruptur Wiedervorstellung in Unfallchirurgie.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