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MRT-Befund und Vorschadenstreit</w:t>
      </w:r>
    </w:p>
    <w:p>
      <w:pPr>
        <w:pStyle w:val="Heading2"/>
      </w:pPr>
      <w:r>
        <w:rPr>
          <w:rFonts w:ascii="Times New Roman" w:hAnsi="Times New Roman"/>
        </w:rPr>
        <w:t>1. MRT 09.04.2026</w:t>
      </w:r>
    </w:p>
    <w:p>
      <w:pPr>
        <w:jc w:val="left"/>
      </w:pPr>
      <w:r>
        <w:t>Teilruptur Supraspinatussehne rechts, subakromiale Flüssigkeit, Knochenmarködem am Tuberculum majus, degenerative AC-Gelenksarthrose. Radiologin Dr. Hage notiert: "Frische traumatische Komponente bei degenerativer Vorschädigung nicht ausgeschlossen."</w:t>
      </w:r>
    </w:p>
    <w:p>
      <w:pPr>
        <w:pStyle w:val="Heading2"/>
      </w:pPr>
      <w:r>
        <w:rPr>
          <w:rFonts w:ascii="Times New Roman" w:hAnsi="Times New Roman"/>
        </w:rPr>
        <w:t>2. Vorunterlagen</w:t>
      </w:r>
    </w:p>
    <w:p>
      <w:pPr>
        <w:jc w:val="left"/>
      </w:pPr>
      <w:r>
        <w:t>Hausarztakte 2018: Schulter rechts nach Handball, konservativ behandelt, keine Bildgebung. Keine AU länger als drei Tage. Betriebsärztliche Vorsorge 2024: volle Tauglichkeit für Lagerleitung, keine Einschränkung Heben bis 15 kg.</w:t>
      </w:r>
    </w:p>
    <w:p>
      <w:pPr>
        <w:pStyle w:val="Heading2"/>
      </w:pPr>
      <w:r>
        <w:rPr>
          <w:rFonts w:ascii="Times New Roman" w:hAnsi="Times New Roman"/>
        </w:rPr>
        <w:t>3. Streitfrage</w:t>
      </w:r>
    </w:p>
    <w:p>
      <w:pPr>
        <w:jc w:val="left"/>
      </w:pPr>
      <w:r>
        <w:t>Die BG liest den Befund als überwiegend degenerativ. Für den Widerspruch sind Erstschmerz, Sturzmechanik, Knochenmarködem, vorherige Beschwerdearmut und unmittelbare Funktionsminderung herauszuarbeiten. Zugleich darf der Vorschaden nicht verschwiegen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