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Ablehnungsbescheid der Berufsgenossenschaft</w:t>
      </w:r>
    </w:p>
    <w:p>
      <w:pPr>
        <w:pStyle w:val="Heading2"/>
      </w:pPr>
      <w:r>
        <w:rPr>
          <w:rFonts w:ascii="Times New Roman" w:hAnsi="Times New Roman"/>
        </w:rPr>
        <w:t>1. Entscheidung</w:t>
      </w:r>
    </w:p>
    <w:p>
      <w:pPr>
        <w:jc w:val="left"/>
      </w:pPr>
      <w:r>
        <w:t>Bescheid vom 18.06.2026: Anerkennung eines Arbeitsunfalls wird abgelehnt. Heilbehandlung über die gesetzliche Unfallversicherung wird nicht weiter übernommen. Rechtsbehelfsbelehrung mit Monatsfrist.</w:t>
      </w:r>
    </w:p>
    <w:p>
      <w:pPr>
        <w:pStyle w:val="Heading2"/>
      </w:pPr>
      <w:r>
        <w:rPr>
          <w:rFonts w:ascii="Times New Roman" w:hAnsi="Times New Roman"/>
        </w:rPr>
        <w:t>2. Begründung der BG</w:t>
      </w:r>
    </w:p>
    <w:p>
      <w:pPr>
        <w:jc w:val="left"/>
      </w:pPr>
      <w:r>
        <w:t>Ein zeitlich begrenztes, von außen auf den Körper wirkendes Ereignis sei nicht im Vollbeweis nachgewiesen. Der Mandant sei allein gewesen. Die Schulterverletzung könne degenerativ entstanden sein. Ein betrieblicher Zusammenhang sei nicht ausreichend belegt, weil auch private Eigenbewegung möglich sei.</w:t>
      </w:r>
    </w:p>
    <w:p>
      <w:pPr>
        <w:pStyle w:val="Heading2"/>
      </w:pPr>
      <w:r>
        <w:rPr>
          <w:rFonts w:ascii="Times New Roman" w:hAnsi="Times New Roman"/>
        </w:rPr>
        <w:t>3. Auffälligkeiten</w:t>
      </w:r>
    </w:p>
    <w:p>
      <w:pPr>
        <w:jc w:val="left"/>
      </w:pPr>
      <w:r>
        <w:t>Der Bescheid erwähnt weder das Wartungsbuch noch die Erstangabe "Brücke hat nachgegeben". Die Kameraausfälle werden nicht gewürdigt. Der MRT-Befund wird verkürzt als degenerativ bezeichnet, ohne das Knochenmarködem zu diskutieren.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