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Widerspruchsentwurf gegen BG-Bescheid</w:t>
      </w:r>
    </w:p>
    <w:p>
      <w:pPr>
        <w:pStyle w:val="Heading2"/>
      </w:pPr>
      <w:r>
        <w:rPr>
          <w:rFonts w:ascii="Times New Roman" w:hAnsi="Times New Roman"/>
        </w:rPr>
        <w:t>1. Antrag</w:t>
      </w:r>
    </w:p>
    <w:p>
      <w:pPr>
        <w:jc w:val="left"/>
      </w:pPr>
      <w:r>
        <w:t>Gegen den Bescheid vom 18.06.2026 wird Widerspruch eingelegt. Beantragt wird die Anerkennung des Ereignisses vom 03.04.2026 als Arbeitsunfall und die Übernahme der unfallbedingten Heilbehandlung einschließlich Prüfung von Verletztengeld.</w:t>
      </w:r>
    </w:p>
    <w:p>
      <w:pPr>
        <w:pStyle w:val="Heading2"/>
      </w:pPr>
      <w:r>
        <w:rPr>
          <w:rFonts w:ascii="Times New Roman" w:hAnsi="Times New Roman"/>
        </w:rPr>
        <w:t>2. Begründungskern</w:t>
      </w:r>
    </w:p>
    <w:p>
      <w:pPr>
        <w:jc w:val="left"/>
      </w:pPr>
      <w:r>
        <w:t>Der Mandant übte eine versicherte Tätigkeit aus, als er die klemmende Überladebrücke an Rampe 4 sicherte. Der Sturz war zeitlich begrenzt, wirkte von außen auf den Körper ein und führte zu sofort dokumentierten Gesundheitsschäden. Die BG hat wesentliche Indizien nicht ausgewertet: Erstangabe, Wartungsvermerke, Funkmeldung, Kameraausfall und MRT-Hinweise.</w:t>
      </w:r>
    </w:p>
    <w:p>
      <w:pPr>
        <w:pStyle w:val="Heading2"/>
      </w:pPr>
      <w:r>
        <w:rPr>
          <w:rFonts w:ascii="Times New Roman" w:hAnsi="Times New Roman"/>
        </w:rPr>
        <w:t>3. Beweisanträge</w:t>
      </w:r>
    </w:p>
    <w:p>
      <w:pPr>
        <w:jc w:val="left"/>
      </w:pPr>
      <w:r>
        <w:t>Beiziehung Wartungsbuch Rampe 4, Vernehmung Bastian Kopp und Sandra Lehnert, Einholung unfallchirurgischer Zusammenhangsbegutachtung, Beiziehung Betriebsarztakte und Kameraausfallprotokoll.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