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Folgeprüfung Verletztengeld, Teilhabe und Rente</w:t>
      </w:r>
    </w:p>
    <w:p>
      <w:pPr>
        <w:pStyle w:val="Heading2"/>
      </w:pPr>
      <w:r>
        <w:rPr>
          <w:rFonts w:ascii="Times New Roman" w:hAnsi="Times New Roman"/>
        </w:rPr>
        <w:t>1. Unfallversicherungsrechtliche Folgen</w:t>
      </w:r>
    </w:p>
    <w:p>
      <w:pPr>
        <w:jc w:val="left"/>
      </w:pPr>
      <w:r>
        <w:t>Bei Anerkennung sind Heilbehandlung, Verletztengeld, medizinische Rehabilitation und bei verbleibender Minderung der Erwerbsfähigkeit eine Verletztenrente zu prüfen. Die Einschätzung darf nicht vorzeitig an der Schulterdiagnose hängen bleiben; entscheidend ist die konkrete Funktionsminderung im Lagerleiterberuf.</w:t>
      </w:r>
    </w:p>
    <w:p>
      <w:pPr>
        <w:pStyle w:val="Heading2"/>
      </w:pPr>
      <w:r>
        <w:rPr>
          <w:rFonts w:ascii="Times New Roman" w:hAnsi="Times New Roman"/>
        </w:rPr>
        <w:t>2. Rentenrechtliche Schnittstelle</w:t>
      </w:r>
    </w:p>
    <w:p>
      <w:pPr>
        <w:jc w:val="left"/>
      </w:pPr>
      <w:r>
        <w:t>Wenn die Arbeitsfähigkeit länger als sechs Monate offen bleibt, müssen Leistungen zur Teilhabe am Arbeitsleben und eine spätere Erwerbsminderungsrente mitgedacht werden. Die Anerkennung als Arbeitsunfall kann medizinische und rentenrechtliche Beweisfragen beeinflussen, ersetzt aber nicht die Prüfung der Erwerbsfähigkeit nach SGB VI.</w:t>
      </w:r>
    </w:p>
    <w:p>
      <w:pPr>
        <w:pStyle w:val="Heading2"/>
      </w:pPr>
      <w:r>
        <w:rPr>
          <w:rFonts w:ascii="Times New Roman" w:hAnsi="Times New Roman"/>
        </w:rPr>
        <w:t>3. Nächste Schritte</w:t>
      </w:r>
    </w:p>
    <w:p>
      <w:pPr>
        <w:jc w:val="left"/>
      </w:pPr>
      <w:r>
        <w:t>Reha-Plan anfordern, Arbeitgeber zu leidensgerechtem Einsatz befragen, Schmerztagebuch nicht als Klagebegründung überladen, sondern nur zur Funktionseinbuße nutzen. Frist Widerspruch 22.07.2026 sichern.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