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Sachverhalt und Trennung</w:t>
      </w:r>
    </w:p>
    <w:p>
      <w:pPr>
        <w:jc w:val="left"/>
      </w:pPr>
      <w:r>
        <w:t>Mira Aiblinger und Tobias Aiblinger heirateten am 19.07.2014. Die Trennung erfolgte nach übereinstimmender Darstellung am 01.02.2026. Tobias zog in eine Mietwohnung in Kolbermoor. Mira blieb mit den Kindern im Haus in Rosenheim. Ein Scheidungsantrag soll frühestens im Februar 2027 gestellt werden.</w:t>
      </w:r>
    </w:p>
    <w:p>
      <w:pPr>
        <w:jc w:val="left"/>
      </w:pPr>
      <w:r>
        <w:t>Tobias ist Entwicklungsleiter bei der Berglicht Robotics GmbH. Mira ist angestellte Physiotherapeutin mit 24 Wochenstunden. Sie möchte ab September 2026 auf 30 Wochenstunden erhöhen, falls die Betreuung von Nino gesichert ist. Tobias meint, Mira könne sofort voll arbeiten. Mira verweist auf Ninos Einschulung, Emil mit ADHS-Diagnostik und die Nachmittagslogistik.</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