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Einkommen Tobias</w:t>
      </w:r>
    </w:p>
    <w:p>
      <w:pPr>
        <w:jc w:val="left"/>
      </w:pPr>
      <w:r>
        <w:t>Tobias erzielte 2025 ein durchschnittliches monatliches Netto von 6.840,00 EUR einschließlich anteiligem Bonus. Für 2026 liegen die Abrechnungen Januar bis Mai vor. Das Monatsnetto ohne Bonus beträgt 6.210,00 EUR. Im April 2026 wurde ein Bonus für 2025 in Höhe von netto 9.600,00 EUR gezahlt. Unterhaltsrechtlich ist eine Zwölftelung zu prüfen.</w:t>
      </w:r>
    </w:p>
    <w:p>
      <w:pPr>
        <w:jc w:val="left"/>
      </w:pPr>
      <w:r>
        <w:t>Zusätzlich nutzt Tobias einen Dienstwagen Audi Q5. Der geldwerte Vorteil ist in der Abrechnung mit 685,00 EUR brutto ausgewiesen; der tatsächliche unterhaltsrechtliche Vorteil ist streitig, weil Tobias nach dem Auszug täglich weiter nach München pendelt. Er zahlt 320,00 EUR monatlich in eine zusätzliche Altersvorsorge und 72,00 EUR Berufsunfähigkeitsversicherung.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