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Einkommen Mira</w:t>
      </w:r>
    </w:p>
    <w:p>
      <w:pPr>
        <w:jc w:val="left"/>
      </w:pPr>
      <w:r>
        <w:t>Mira erzielt bei 24 Wochenstunden ein durchschnittliches Monatsnetto von 2.180,00 EUR. Die Praxisleitung hat eine Erhöhung auf 30 Wochenstunden ab September 2026 angeboten; erwartetes Netto dann 2.610,00 EUR. Eine sofortige Vollzeitstelle ist nicht angeboten und wegen Ninos Einschulung sowie Emils Therapie organisatorisch nicht gesichert.</w:t>
      </w:r>
    </w:p>
    <w:p>
      <w:pPr>
        <w:jc w:val="left"/>
      </w:pPr>
      <w:r>
        <w:t>Mira zahlt 95,00 EUR monatlich private Zusatzversicherung für die Kinder, 64,00 EUR berufsbedingte Fahrtkosten und 130,00 EUR Altersvorsorge. Der Arbeitgeberzuschuss zur Fortbildung ist einmalig und nicht als dauerhaftes Einkommen geplant.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