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Bereinigungen, Schulden und Versicherungen</w:t>
      </w:r>
    </w:p>
    <w:p>
      <w:pPr>
        <w:jc w:val="left"/>
      </w:pPr>
      <w:r>
        <w:t>Tobias zahlt für die Ehewohnung keinen Kredit mehr, weil Mira die Hauslasten seit Februar trägt. Er zahlt Miete von 1.420,00 EUR warm. Seine private Altersvorsorge von 320,00 EUR monatlich besteht seit 2016. Die Berufsunfähigkeitsversicherung ist berufsbezogen plausibel. Streitig ist ein Konsumentenkredit über 310,00 EUR monatlich für ein Motorrad, das Tobias nach der Trennung gekauft hat.</w:t>
      </w:r>
    </w:p>
    <w:p>
      <w:pPr>
        <w:jc w:val="left"/>
      </w:pPr>
      <w:r>
        <w:t>Mira trägt Zins und Tilgung für das Hausdarlehen mit 1.480,00 EUR monatlich. Davon entfallen 780,00 EUR auf Zinsen und 700,00 EUR auf Tilgung. Die Tilgung ist beim Wohnvorteil gesondert zu bewerten. Nebenkosten des Hauses betragen 510,00 EUR monatlich. Der objektive Wohnwert wird von beiden Seiten vorläufig mit 1.850,00 EUR angesetzt; Mira meint, wegen Trennung und nicht abgeschlossener Vermögensauseinandersetzung sei zunächst nur ein angemessener Wohnwert anzusetzen.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