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Wohnwert und Hauslasten</w:t>
      </w:r>
    </w:p>
    <w:p>
      <w:pPr>
        <w:jc w:val="left"/>
      </w:pPr>
      <w:r>
        <w:t>Das Haus steht im hälftigen Miteigentum. Mira nutzt es mit den drei Kindern. Tobias verlangt, den vollen objektiven Wohnwert anzusetzen. Mira möchte bis zur Scheidung nur den angemessenen Wohnwert ansetzen, weil ein Verkauf oder Auszug nicht kurzfristig zumutbar sei. Die Akte enthält deshalb zwei Varianten:</w:t>
      </w:r>
    </w:p>
    <w:p>
      <w:pPr>
        <w:pStyle w:val="ListNumber"/>
      </w:pPr>
      <w:r>
        <w:t>Variante A: objektiver Wohnwert 1.850,00 EUR, Zinslast 780,00 EUR, keine volle Tilgungsberücksichtigung.</w:t>
      </w:r>
    </w:p>
    <w:p>
      <w:pPr>
        <w:pStyle w:val="ListNumber"/>
      </w:pPr>
      <w:r>
        <w:t>Variante B: angemessener Wohnwert 1.250,00 EUR bis August 2026, ab September 2026 stufenweise Erhöhung.</w:t>
      </w:r>
    </w:p>
    <w:p>
      <w:pPr>
        <w:jc w:val="left"/>
      </w:pPr>
      <w:r>
        <w:t>Für das System ist wichtig, Wohnvorteil, Kindesunterhalt und Ehegattenunterhalt nicht doppelt zu verrechnen.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