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Kindesunterhalt 2026: Datenblatt</w:t>
      </w:r>
    </w:p>
    <w:p>
      <w:pPr>
        <w:jc w:val="left"/>
      </w:pPr>
      <w:r>
        <w:t>Die Akte arbeitet mit der Düsseldorfer Tabelle Stand 01.01.2026. Kindergeld beträgt 259,00 EUR je Kind. Die konkreten Tabellenbeträge sollen vom System anhand aktueller Quelle überprüft werden; in der Excel-Datei sind Arbeitswerte eingetragen, nicht als amtliche Tabelle gemeint.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Kind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Altersstufe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Lebensmittelpunkt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Kindergeldbezug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Mehrbedarf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12-17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86,00 EUR Musikschule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Emil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12-17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210,00 EUR Lerntherapie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Nino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0-5 bis August, 6-11 ab September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145,00 EUR Hort ab September</w:t>
            </w:r>
          </w:p>
        </w:tc>
      </w:tr>
    </w:tbl>
    <w:p>
      <w:pPr>
        <w:jc w:val="left"/>
      </w:pPr>
      <w:r>
        <w:t>Die Betreuung Tobias' bleibt deutlich unter Wechselmodell. Ein erweitertes Umgangsmodell kann Auswirkungen auf Mehrbedarf und einzelne Fahrtkosten haben, aber nicht automatisch auf die Barunterhaltspflicht.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