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Trennungsunterhalt: Rechenvarianten</w:t>
      </w:r>
    </w:p>
    <w:p>
      <w:pPr>
        <w:jc w:val="left"/>
      </w:pPr>
      <w:r>
        <w:t>Variante 1 rechnet mit Tobias' durchschnittlichem Jahresnetto einschließlich Bonus und Miras aktuellem Einkommen. Variante 2 rechnet ab September 2026 mit Miras 30-Stunden-Netto. Variante 3 setzt beim Wohnwert nur einen angemessenen Wohnwert an. Variante 4 setzt den objektiven Wohnwert vollständig an.</w:t>
      </w:r>
    </w:p>
    <w:p>
      <w:pPr>
        <w:jc w:val="left"/>
      </w:pPr>
      <w:r>
        <w:t>Der Erwerbstätigenbonus, Kindesunterhalt als Vorwegabzug, berücksichtigungsfähige Altersvorsorge, Wohnwert und Schulden sind sichtbar getrennt. Der Output soll nicht nur eine Zahl liefern, sondern zeigen, welche Parameter den Zahlbetrag bewegen und welche Variante verhandlungsfähig ist.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