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Nachehelicher Unterhalt: Varianten</w:t>
      </w:r>
    </w:p>
    <w:p>
      <w:pPr>
        <w:jc w:val="left"/>
      </w:pPr>
      <w:r>
        <w:t>Für die Zeit nach Scheidung stehen drei Linien im Raum:</w:t>
      </w:r>
    </w:p>
    <w:p>
      <w:pPr>
        <w:pStyle w:val="ListNumber"/>
      </w:pPr>
      <w:r>
        <w:t>Betreuungsunterhalt wegen Nino und Emils Förderbedarf. Mira argumentiert, eine sofortige Vollzeittätigkeit sei bis mindestens Sommer 2028 unzumutbar.</w:t>
      </w:r>
    </w:p>
    <w:p>
      <w:pPr>
        <w:pStyle w:val="ListNumber"/>
      </w:pPr>
      <w:r>
        <w:t>Aufstockungsunterhalt wegen ehebedingter Teilzeit und Einkommensdifferenz. Tobias argumentiert, Mira habe ihren Beruf nie aufgegeben und könne aufstocken.</w:t>
      </w:r>
    </w:p>
    <w:p>
      <w:pPr>
        <w:pStyle w:val="ListNumber"/>
      </w:pPr>
      <w:r>
        <w:t>Befristung und Herabsetzung. Tobias will eine klare Befristung nach zwei Jahren; Mira verlangt eine Anpassungsklausel nach tatsächlicher Erwerbsausweitung und Betreuungslage.</w:t>
      </w:r>
    </w:p>
    <w:p>
      <w:pPr>
        <w:jc w:val="left"/>
      </w:pPr>
      <w:r>
        <w:t>Die Akte enthält genug Zahlen, um Korridore zu bilden, aber keine endgültige gerichtliche Bewertung.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