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Vergleichsangebot Entwurf</w:t>
      </w:r>
    </w:p>
    <w:p>
      <w:pPr>
        <w:jc w:val="left"/>
      </w:pPr>
      <w:r>
        <w:t>Tobias zahlt ab 01.07.2026 Kindesunterhalt nach der jeweils einschlägigen Einkommensgruppe der Düsseldorfer Tabelle, dynamisiert in Höhe von 120 % des Mindestunterhalts, abzüglich hälftigen Kindergelds. Mehrbedarf für Lerntherapie, Musikschule und Hort wird nach Einkommensquote getragen.</w:t>
      </w:r>
    </w:p>
    <w:p>
      <w:pPr>
        <w:jc w:val="left"/>
      </w:pPr>
      <w:r>
        <w:t>Tobias zahlt Trennungsunterhalt an Mira in monatlicher Höhe von 1.180,00 EUR bis einschließlich August 2026 und ab September 2026 in Höhe von 920,00 EUR, jeweils unter Vorbehalt der Neuberechnung nach Steuerklassenwechsel, Bonuszahlung 2026 und Wohnwertklärung.</w:t>
      </w:r>
    </w:p>
    <w:p>
      <w:pPr>
        <w:jc w:val="left"/>
      </w:pPr>
      <w:r>
        <w:t>Für nachehelichen Unterhalt vereinbaren die Beteiligten zunächst eine Evaluationsklausel sechs Monate nach Rechtskraft der Scheidung. Eine Befristung bleibt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