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Rechenhinweise der Kanzlei</w:t>
      </w:r>
    </w:p>
    <w:p>
      <w:pPr>
        <w:jc w:val="left"/>
      </w:pPr>
      <w:r>
        <w:t>Diese Akte soll nicht automatisch nur eine einzige Zahl auswerfen. Gewünscht ist ein Berechnungsblatt mit mindestens vier Varianten: aktuell, ab September mit höherem Einkommen Mira, objektiver Wohnwert, angemessener Wohnwert. Kindesunterhalt ist vor dem Ehegattenunterhalt zu berücksichtigen. Mehrbedarf der Kinder ist gesondert zu quoteln.</w:t>
      </w:r>
    </w:p>
    <w:p>
      <w:pPr>
        <w:jc w:val="left"/>
      </w:pPr>
      <w:r>
        <w:t>Bitte im Ergebnis immer ausweisen: zugrunde gelegtes Einkommen, Bereinigungen, Quote, Kindergeld, Zahlbetrag, offene Streitpunkte und Anpassungsmechanismus. Wenn ein Tabellenwert nicht live verifiziert ist, muss der Output das klar markieren.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