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E-Mail-Auszüge zur Zahlenfreigabe</w:t>
      </w:r>
    </w:p>
    <w:p>
      <w:pPr>
        <w:jc w:val="left"/>
      </w:pPr>
      <w:r>
        <w:rPr>
          <w:b/>
        </w:rPr>
        <w:t>18.05.2026, RA Tobias:</w:t>
      </w:r>
      <w:r>
        <w:t xml:space="preserve"> Wir geben die Einkommenszahlen 2025/2026 frei, bestehen aber darauf, den Bonus auf drei Jahre zu glätten. Der Dienstwagen ist im Netto bereits abgebildet.</w:t>
      </w:r>
    </w:p>
    <w:p>
      <w:pPr>
        <w:jc w:val="left"/>
      </w:pPr>
      <w:r>
        <w:rPr>
          <w:b/>
        </w:rPr>
        <w:t>21.05.2026, Mira:</w:t>
      </w:r>
      <w:r>
        <w:t xml:space="preserve"> Ich brauche eine Berechnung, die ich verstehe. Tobias sagt, ich solle Vollzeit arbeiten. Ich will wissen, was passiert, wenn ich ab September 30 Stunden mache, aber ich kann nicht jetzt schon Vollzeit versprechen.</w:t>
      </w:r>
    </w:p>
    <w:p>
      <w:pPr>
        <w:jc w:val="left"/>
      </w:pPr>
      <w:r>
        <w:rPr>
          <w:b/>
        </w:rPr>
        <w:t>24.05.2026, Kanzlei intern:</w:t>
      </w:r>
      <w:r>
        <w:t xml:space="preserve"> Bitte Variante mit angemessenem Wohnwert und Variante mit objektivem Wohnwert nebeneinander. Emils Lerntherapie nicht vergessen; Tobias hat dem bislang mündlich zugestimmt.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