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Mandatsnotiz vom 04.06.2026</w:t>
      </w:r>
    </w:p>
    <w:p>
      <w:pPr>
        <w:jc w:val="left"/>
      </w:pPr>
      <w:r>
        <w:t>Lene Harms erschien um 09:15 Uhr mit einem Leitzordner, zwei ausgedruckten Kontoauszügen und mehreren E-Mails ihres Ehemannes. Sie lebt seit dem 18.01.2026 getrennt. Joris Harms ist nach einem Streit über die Firmenfinanzen aus der Ehewohnung in der Ohlsdorfer Straße ausgezogen und wohnt nach ihrer Darstellung in einer möblierten Wohnung in Hamburg-Barmbek. Die Kinder Tilda und Bent wohnen bei Lene. Joris holt Bent meistens mittwochs zum Fußballtraining ab und nimmt beide Kinder an jedem zweiten Wochenende, wobei Tilda seit April öfter absagt.</w:t>
      </w:r>
    </w:p>
    <w:p>
      <w:pPr>
        <w:jc w:val="left"/>
      </w:pPr>
      <w:r>
        <w:t>Lene arbeitet 30 Stunden pro Woche als Projektkoordinatorin bei der Nordkai Museum Service gGmbH. Ihr durchschnittliches Nettoeinkommen soll nach den letzten drei Gehaltsabrechnungen 2.386,40 EUR betragen. Sie zahlt die Warmmiete der Ehewohnung von 1.780,00 EUR, Hortkosten für Bent von 158,00 EUR und Nachhilfe für Tilda von 185,00 EUR. Kindergeld erhält sie auf ihr Konto.</w:t>
      </w:r>
    </w:p>
    <w:p>
      <w:pPr>
        <w:jc w:val="left"/>
      </w:pPr>
      <w:r>
        <w:t>Joris zahlte im Februar 2026 noch 2.250,00 EUR, im März 1.500,00 EUR und seit April nur noch 900,00 EUR. Er schreibt, er könne wegen Auftragsflaute nichts anderes leisten. Lene hält das für vorgeschoben, weil Joris im April eine neue Kameraausrüstung gekauft habe und weiterhin mit einem Tesla Model Y aus der GmbH fahre. Sie berichtet außerdem, Joris habe die Ferienwohnung seiner Mutter in Grömitz "praktisch übernommen" und vermiete sie über ein Portal, die Einnahmen liefen aber nicht über sein privates Konto.</w:t>
      </w:r>
    </w:p>
    <w:p>
      <w:pPr>
        <w:jc w:val="left"/>
      </w:pPr>
      <w:r>
        <w:t>Ziel des Mandats ist zunächst nicht die Scheidung, sondern die Sicherung laufenden Kindes- und Trennungsunterhalts. Lene möchte keine Eskalation im Umgang, ist aber bereit, Auskunft gerichtlich geltend zu machen. Sie hat Angst, mit der Miete in Rückstand zu geraten.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