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Unvollständige Auskunft Joris</w:t>
      </w:r>
    </w:p>
    <w:p>
      <w:pPr>
        <w:jc w:val="left"/>
      </w:pPr>
      <w:r>
        <w:t>Joris übersandte am 22.03.2026 eine E-Mail mit dem Satz: "Meine BWA sagt alles, ich bin praktisch pleite." Angehängt war eine BWA Januar bis März 2026 der Harms Lichtbau GmbH. Das Geschäftsführergehalt wird dort mit 3.000,00 EUR monatlich verbucht. Gleichzeitig zeigt die BWA Kfz-Kosten von 1.284,00 EUR monatlich, Reisekosten von 2.918,00 EUR im März und "sonstige betriebliche Aufwendungen" von 18.440,00 EUR im Quartal.</w:t>
      </w:r>
    </w:p>
    <w:p>
      <w:pPr>
        <w:jc w:val="left"/>
      </w:pPr>
      <w:r>
        <w:t>Nicht vorgelegt wurden: Steuerbescheide 2023 bis 2025, Einkommensteuererklärungen, Jahresabschlüsse der GmbH, Summen- und Saldenlisten, Gesellschafterdarlehen, Kontoauszüge Privatkonto, Nachweise zu Privatnutzung Pkw, Angaben zur Vermietung der Ferienwohnung Grömitz und der Geschäftsführer-Anstellungsvertrag. Lene berichtet, Joris habe im April in einem Chat geschrieben, er werde "nicht noch seine komplette Firma offenlegen".</w:t>
      </w:r>
    </w:p>
    <w:p>
      <w:pPr>
        <w:jc w:val="left"/>
      </w:pPr>
      <w:r>
        <w:t>Das ist der Kern für die Stufenklage: Ohne vollständige Auskunft lässt sich der Unterhalt nicht seriös berechnen. Die einstweilige Anordnung soll nur eine vorläufige Sicherung leisten.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