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BWA-Fragmente und Privatnutzung</w:t>
      </w:r>
    </w:p>
    <w:p>
      <w:pPr>
        <w:jc w:val="left"/>
      </w:pPr>
      <w:r>
        <w:t>Die BWA der Harms Lichtbau GmbH weist für Januar bis März 2026 einen vorläufigen Verlust von 14.870,00 EUR aus. Gleichzeitig sind die Umsatzerlöse gegenüber Q1 2025 nur um 8,2 % gefallen. Der größte Unterschied liegt in den Kostenpositionen Kfz, Fremdleistungen, Reisekosten und sonstige betriebliche Aufwendungen.</w:t>
      </w:r>
    </w:p>
    <w:p>
      <w:pPr>
        <w:jc w:val="left"/>
      </w:pPr>
      <w:r>
        <w:t>Auffällig ist der Tesla Model Y, den Joris seit Oktober 2024 privat nutzt. Lene hat Fotos aus dem Familienurlaub 2025, auf denen der Wagen vor der Ferienwohnung steht. In den Gehaltsabrechnungen Joris ist ein geldwerter Vorteil nicht erkennbar; es liegt aber nur ein Screenshot einer Abrechnung vor.</w:t>
      </w:r>
    </w:p>
    <w:p>
      <w:pPr>
        <w:jc w:val="left"/>
      </w:pPr>
      <w:r>
        <w:t>Außerdem findet sich in der BWA eine Buchung "Darlehen Gesellschafter JH Rückführung 9.500,00 EUR". Ohne Darlehensvertrag und Kontobeleg ist unklar, ob es sich um echte Rückzahlung, verdeckte Entnahme oder Liquiditätsverschiebung handelt.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