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Auskunftsaufforderung</w:t>
      </w:r>
    </w:p>
    <w:p>
      <w:pPr>
        <w:jc w:val="left"/>
      </w:pPr>
      <w:r>
        <w:t>Sehr geehrter Herr Harms,</w:t>
      </w:r>
    </w:p>
    <w:p>
      <w:pPr>
        <w:jc w:val="left"/>
      </w:pPr>
      <w:r>
        <w:t>namens und in Vollmacht von Frau Lene Harms fordere ich Sie auf, zur Berechnung des Kindesunterhalts für Tilda und Bent sowie des Trennungsunterhalts für Frau Harms vollständige Auskunft über Ihre Einkünfte und Ihr Vermögen zu erteilen und die Angaben zu belegen.</w:t>
      </w:r>
    </w:p>
    <w:p>
      <w:pPr>
        <w:jc w:val="left"/>
      </w:pPr>
      <w:r>
        <w:t>Für die selbstständige und gesellschaftsrechtlich vermittelte Tätigkeit sind insbesondere vorzulegen: Einkommensteuerbescheide und -erklärungen 2023 bis 2025, Jahresabschlüsse und BWA/SuSa der Harms Lichtbau GmbH 2023 bis laufend, Geschäftsführer-Anstellungsvertrag, Gehaltsabrechnungen, Gesellschafterdarlehensverträge, Kontoauszüge zu Entnahmen und Rückführungen, Nachweise zur privaten Nutzung des Tesla Model Y, Aufstellungen über Reisekosten und sonstige betriebliche Aufwendungen sowie sämtliche Unterlagen zur Ferienwohnung Grömitz einschließlich Plattformabrechnungen.</w:t>
      </w:r>
    </w:p>
    <w:p>
      <w:pPr>
        <w:jc w:val="left"/>
      </w:pPr>
      <w:r>
        <w:t>Die Auskunft wird bis zum 28.06.2026 erwartet. Nach fruchtlosem Fristablauf wird gerichtliche Hilfe in Anspruch genommen, einschließlich Stufenantrag und Antrag auf vorläufigen Unterhalt.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