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Einstweilige Anordnung: vorläufiger Unterhalt</w:t>
      </w:r>
    </w:p>
    <w:p>
      <w:pPr>
        <w:jc w:val="left"/>
      </w:pPr>
      <w:r>
        <w:t>Für die Zwischenzeit bis zur Auskunftserteilung kommt ein Antrag auf einstweilige Anordnung in Betracht. Ziel ist nicht die endgültige Unterhaltsberechnung, sondern die Sicherung der laufenden Miete, des Kindesbedarfs und der Kranken-/Schulkosten.</w:t>
      </w:r>
    </w:p>
    <w:p>
      <w:pPr>
        <w:jc w:val="left"/>
      </w:pPr>
      <w:r>
        <w:t>Vorläufige Bezifferung aus Mandantensicht: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bisherige Gesamtzahlung Joris Februar</w:t>
            </w:r>
          </w:p>
        </w:tc>
        <w:tc>
          <w:tcPr>
            <w:tcW w:type="dxa" w:w="4536"/>
          </w:tcPr>
          <w:p>
            <w:r>
              <w:rPr>
                <w:rFonts w:ascii="Times New Roman" w:hAnsi="Times New Roman"/>
                <w:sz w:val="20"/>
              </w:rPr>
              <w:t>2.250,00 EUR</w:t>
            </w:r>
          </w:p>
        </w:tc>
      </w:tr>
      <w:tr>
        <w:tc>
          <w:tcPr>
            <w:tcW w:type="dxa" w:w="4536"/>
          </w:tcPr>
          <w:p>
            <w:r>
              <w:rPr>
                <w:rFonts w:ascii="Times New Roman" w:hAnsi="Times New Roman"/>
                <w:sz w:val="20"/>
              </w:rPr>
              <w:t>aktuelle Zahlung seit April</w:t>
            </w:r>
          </w:p>
        </w:tc>
        <w:tc>
          <w:tcPr>
            <w:tcW w:type="dxa" w:w="4536"/>
          </w:tcPr>
          <w:p>
            <w:r>
              <w:rPr>
                <w:rFonts w:ascii="Times New Roman" w:hAnsi="Times New Roman"/>
                <w:sz w:val="20"/>
              </w:rPr>
              <w:t>900,00 EUR</w:t>
            </w:r>
          </w:p>
        </w:tc>
      </w:tr>
      <w:tr>
        <w:tc>
          <w:tcPr>
            <w:tcW w:type="dxa" w:w="4536"/>
          </w:tcPr>
          <w:p>
            <w:r>
              <w:rPr>
                <w:rFonts w:ascii="Times New Roman" w:hAnsi="Times New Roman"/>
                <w:sz w:val="20"/>
              </w:rPr>
              <w:t>Warmmiete Ehewohnung</w:t>
            </w:r>
          </w:p>
        </w:tc>
        <w:tc>
          <w:tcPr>
            <w:tcW w:type="dxa" w:w="4536"/>
          </w:tcPr>
          <w:p>
            <w:r>
              <w:rPr>
                <w:rFonts w:ascii="Times New Roman" w:hAnsi="Times New Roman"/>
                <w:sz w:val="20"/>
              </w:rPr>
              <w:t>1.780,00 EUR</w:t>
            </w:r>
          </w:p>
        </w:tc>
      </w:tr>
      <w:tr>
        <w:tc>
          <w:tcPr>
            <w:tcW w:type="dxa" w:w="4536"/>
          </w:tcPr>
          <w:p>
            <w:r>
              <w:rPr>
                <w:rFonts w:ascii="Times New Roman" w:hAnsi="Times New Roman"/>
                <w:sz w:val="20"/>
              </w:rPr>
              <w:t>Hort Bent</w:t>
            </w:r>
          </w:p>
        </w:tc>
        <w:tc>
          <w:tcPr>
            <w:tcW w:type="dxa" w:w="4536"/>
          </w:tcPr>
          <w:p>
            <w:r>
              <w:rPr>
                <w:rFonts w:ascii="Times New Roman" w:hAnsi="Times New Roman"/>
                <w:sz w:val="20"/>
              </w:rPr>
              <w:t>158,00 EUR</w:t>
            </w:r>
          </w:p>
        </w:tc>
      </w:tr>
      <w:tr>
        <w:tc>
          <w:tcPr>
            <w:tcW w:type="dxa" w:w="4536"/>
          </w:tcPr>
          <w:p>
            <w:r>
              <w:rPr>
                <w:rFonts w:ascii="Times New Roman" w:hAnsi="Times New Roman"/>
                <w:sz w:val="20"/>
              </w:rPr>
              <w:t>Nachhilfe Tilda</w:t>
            </w:r>
          </w:p>
        </w:tc>
        <w:tc>
          <w:tcPr>
            <w:tcW w:type="dxa" w:w="4536"/>
          </w:tcPr>
          <w:p>
            <w:r>
              <w:rPr>
                <w:rFonts w:ascii="Times New Roman" w:hAnsi="Times New Roman"/>
                <w:sz w:val="20"/>
              </w:rPr>
              <w:t>185,00 EUR</w:t>
            </w:r>
          </w:p>
        </w:tc>
      </w:tr>
      <w:tr>
        <w:tc>
          <w:tcPr>
            <w:tcW w:type="dxa" w:w="4536"/>
          </w:tcPr>
          <w:p>
            <w:r>
              <w:rPr>
                <w:rFonts w:ascii="Times New Roman" w:hAnsi="Times New Roman"/>
                <w:sz w:val="20"/>
              </w:rPr>
              <w:t>geschätzte Unterdeckung monatlich</w:t>
            </w:r>
          </w:p>
        </w:tc>
        <w:tc>
          <w:tcPr>
            <w:tcW w:type="dxa" w:w="4536"/>
          </w:tcPr>
          <w:p>
            <w:r>
              <w:rPr>
                <w:rFonts w:ascii="Times New Roman" w:hAnsi="Times New Roman"/>
                <w:sz w:val="20"/>
              </w:rPr>
              <w:t>1.100,00 EUR bis 1.450,00 EUR</w:t>
            </w:r>
          </w:p>
        </w:tc>
      </w:tr>
    </w:tbl>
    <w:p>
      <w:pPr>
        <w:jc w:val="left"/>
      </w:pPr>
      <w:r>
        <w:t>Die Akte enthält keine sichere Endberechnung. Das System soll deshalb einen vorsichtigen EA-Antrag formulieren, der Mindestunterhalt der Kinder, Mehrbedarf und einen vorläufigen Trennungsunterhalt verlangt, ohne die spätere Stufenklage zu präjudizieren.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