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Belegmatrix, Lücken und Beweiswert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Einkommen Lene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Gehaltsabrechnungen Jan-Mai 2026, Arbeitgeberbescheinigung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Steuerbescheid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solide Basis für Bedarf/Quote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Einkommen Joris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BWA Q1 2026, Screenshot Gehalt März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Steuerbescheide, Jahresabschlüsse, Anstellungsvertrag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Auskunftsstufe notwendig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Firmenwagen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Fotos, BWA-Kfz-Kosten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Nutzungsvertrag, geldwerter Vorteil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mögliches Einkommen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Ferienwohnung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Plattformhinweis, Chat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Eigentum, Abrechnung, Konto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mögliches Vermietungseinkommen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Kontoauszug Jan-Jun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vollständiges Konto Lene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Rückstand und Verzug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Kinderkosten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Hortvertrag, Nachhilfevertrag, Klassenfahrt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Zahlungsbelege Mai/Juni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Mehrbedarf/Sonderbedarf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