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Kanzleinotiz Eingang 18.05.2026</w:t>
      </w:r>
    </w:p>
    <w:p>
      <w:pPr>
        <w:jc w:val="left"/>
      </w:pPr>
      <w:r>
        <w:t>Mandantin: Auerbach Soundworks GmbH, Berlin-Kreuzberg. Geschäftsführerin: Dr. Maralda Auerbach. Projektname intern: „Nordlicht in Beton“. Produktkampagne: alkoholfreies Getränk, Launch geplant am 21.06.2026 in Deutschland, Österreich, Niederlande, Frankreich und Spanien.</w:t>
      </w:r>
    </w:p>
    <w:p>
      <w:pPr>
        <w:jc w:val="left"/>
      </w:pPr>
      <w:r>
        <w:t>Eingang der Unterlagen am späten Freitagabend durch drei Quellen: Mandantin, Musikverlag Silberfarn Edition KG und Plattform „Streamdeck Europe“. Dazu kam am Montag um 06:42 Uhr eine E-Mail des KI-Anbieters Neuronest Audio GmbH, der jede Verantwortlichkeit ablehnt und auf einen angeblichen Rechtevorbehalts-Scanner verweist.</w:t>
      </w:r>
    </w:p>
    <w:p>
      <w:pPr>
        <w:pStyle w:val="Heading2"/>
      </w:pPr>
      <w:r>
        <w:rPr>
          <w:rFonts w:ascii="Times New Roman" w:hAnsi="Times New Roman"/>
        </w:rPr>
        <w:t>Sofortdruck</w:t>
      </w:r>
    </w:p>
    <w:p>
      <w:pPr>
        <w:pStyle w:val="ListBullet"/>
      </w:pPr>
      <w:r>
        <w:t>Streaming-Preview seit 16.05.2026 online, bislang ca. 42.800 Abrufe.</w:t>
      </w:r>
    </w:p>
    <w:p>
      <w:pPr>
        <w:pStyle w:val="ListBullet"/>
      </w:pPr>
      <w:r>
        <w:t>Gegnerisches Label Nachtbogen Records behauptet ein erkennbares Sample aus einer Aufnahme von 2008.</w:t>
      </w:r>
    </w:p>
    <w:p>
      <w:pPr>
        <w:pStyle w:val="ListBullet"/>
      </w:pPr>
      <w:r>
        <w:t>Texterin Fredwina Zornau verlangt alleinige Nennung für zwei Zeilen im Refrain.</w:t>
      </w:r>
    </w:p>
    <w:p>
      <w:pPr>
        <w:pStyle w:val="ListBullet"/>
      </w:pPr>
      <w:r>
        <w:t>Producer Henning Valtin behauptet, die Hookline sei aus seinem Demo vom 03.02.2026 übernommen.</w:t>
      </w:r>
    </w:p>
    <w:p>
      <w:pPr>
        <w:pStyle w:val="ListBullet"/>
      </w:pPr>
      <w:r>
        <w:t>KI-Anbieter behauptet, der Output sei rein maschinell erzeugt und nicht schutzfähig, zugleich aber durch AGB exklusiv an Auerbach lizenziert.</w:t>
      </w:r>
    </w:p>
    <w:p>
      <w:pPr>
        <w:pStyle w:val="ListBullet"/>
      </w:pPr>
      <w:r>
        <w:t>Der Werbekunde will am 24.05.2026 final entscheiden, ob der Spot ausgetauscht werden muss.</w:t>
      </w:r>
    </w:p>
    <w:p>
      <w:pPr>
        <w:pStyle w:val="Heading2"/>
      </w:pPr>
      <w:r>
        <w:rPr>
          <w:rFonts w:ascii="Times New Roman" w:hAnsi="Times New Roman"/>
        </w:rPr>
        <w:t>Erste Arbeitshypothesen</w:t>
      </w:r>
    </w:p>
    <w:p>
      <w:pPr>
        <w:pStyle w:val="ListNumber"/>
      </w:pPr>
      <w:r>
        <w:t>Text, Melodie, Master und KI-Workflow müssen getrennt werden.</w:t>
      </w:r>
    </w:p>
    <w:p>
      <w:pPr>
        <w:pStyle w:val="ListNumber"/>
      </w:pPr>
      <w:r>
        <w:t>Bei der Hookline ist unklar, ob eine schutzfähige melodische Prägung oder nur genretypische Tonfolge vorliegt.</w:t>
      </w:r>
    </w:p>
    <w:p>
      <w:pPr>
        <w:pStyle w:val="ListNumber"/>
      </w:pPr>
      <w:r>
        <w:t>Das behauptete Sample könnte eher eine nachgebaute Klangfarbe sein; ohne Stems und Spektrogramm keine belastbare Aussage.</w:t>
      </w:r>
    </w:p>
    <w:p>
      <w:pPr>
        <w:pStyle w:val="ListNumber"/>
      </w:pPr>
      <w:r>
        <w:t>Die Rechtekette ist lückenhaft: Producer Agreement liegt nur als Entwurf vor, Split-Sheet enthält handschriftliche Änderungen.</w:t>
      </w:r>
    </w:p>
    <w:p>
      <w:pPr>
        <w:pStyle w:val="ListNumber"/>
      </w:pPr>
      <w:r>
        <w:t>KI-Training und KI-Output sind doppelt relevant: Einmal als möglicher Rechtsverstoß gegen Fremdmaterial, einmal als Frage, ob Auerbach eigene Rechte am finalen Track halten kann.</w:t>
      </w:r>
    </w:p>
    <w:p>
      <w:pPr>
        <w:pStyle w:val="Heading2"/>
      </w:pPr>
      <w:r>
        <w:rPr>
          <w:rFonts w:ascii="Times New Roman" w:hAnsi="Times New Roman"/>
        </w:rPr>
        <w:t>Nächste Unterlagenanforderung</w:t>
      </w:r>
    </w:p>
    <w:p>
      <w:pPr>
        <w:pStyle w:val="ListBullet"/>
      </w:pPr>
      <w:r>
        <w:t>DAW-Projektdateien aller Fassungen seit Januar 2026.</w:t>
      </w:r>
    </w:p>
    <w:p>
      <w:pPr>
        <w:pStyle w:val="ListBullet"/>
      </w:pPr>
      <w:r>
        <w:t>MIDI-Spuren der Hookline und Bassline.</w:t>
      </w:r>
    </w:p>
    <w:p>
      <w:pPr>
        <w:pStyle w:val="ListBullet"/>
      </w:pPr>
      <w:r>
        <w:t>Promptlog vollständig, nicht nur Screenshot.</w:t>
      </w:r>
    </w:p>
    <w:p>
      <w:pPr>
        <w:pStyle w:val="ListBullet"/>
      </w:pPr>
      <w:r>
        <w:t>Vertrag mit Neuronest Audio GmbH einschließlich AGB im Zeitpunkt der Nutzung.</w:t>
      </w:r>
    </w:p>
    <w:p>
      <w:pPr>
        <w:pStyle w:val="ListBullet"/>
      </w:pPr>
      <w:r>
        <w:t>Label- und Publishing-Entwürfe mit Änderungsverfolgung.</w:t>
      </w:r>
    </w:p>
    <w:p>
      <w:pPr>
        <w:pStyle w:val="ListBullet"/>
      </w:pPr>
      <w:r>
        <w:t>ISRC-/UPC-Daten, Plattform-Tickets, Content-ID-Meldungen.</w:t>
      </w:r>
    </w:p>
    <w:p>
      <w:pPr>
        <w:pStyle w:val="ListBullet"/>
      </w:pPr>
      <w:r>
        <w:t>Nachweis, wer wann welche Zeile des Refrains geschrieben oder verändert hat.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