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Rechtekette Master und Publishing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Person / Stelle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Behaupteter Beitrag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Dokumentlage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Maralda Auerbach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Geschäftsführerin / Creative Director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Promptführung, Auswahl, Arrangement, Mixfreigabe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E-Mails, Promptlog, Meetingnotizen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Fredwina Zornau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Texterin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Refrain Zeilen 1 und 2, Motiv Jackentasche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Notizbuchscan fehlt, E-Mail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Henning Valtin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Producer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Demo-Motiv, Beat-Entwurf, Synth-Preset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Demo-Datei, kein unterschriebener Vertrag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Silberfarn Edition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Musikverlag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Publishing-Administration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 vom 09.05.2026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Auerbach Soundworks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Produktion / Master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Finanzierung, Studio, Auftragnehmer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Kundenvertrag, interne Freigaben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Neuronest Audio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KI-Anbieter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KI-Skizzen und AGB-Lizenzbehauptung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AGB-Link, Exportlog, Support-Mail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Nachtbogen Records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Gegnerisches Label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Master „Fenster aus Eis“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Claim Letter, Preview-Link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Vertragsstand</w:t>
      </w:r>
    </w:p>
    <w:p>
      <w:pPr>
        <w:pStyle w:val="ListBullet"/>
      </w:pPr>
      <w:r>
        <w:t>Producer Agreement Henning Valtin: Entwurf Version 0.7, nicht unterschrieben. Enthält Buyout-Formulierung, aber keine ausdrückliche KI-Klausel.</w:t>
      </w:r>
    </w:p>
    <w:p>
      <w:pPr>
        <w:pStyle w:val="ListBullet"/>
      </w:pPr>
      <w:r>
        <w:t>Texterinnenvereinbarung Fredwina Zornau: E-Mail-Zusage „für Pitch und Kampagne“, Vergütung offen.</w:t>
      </w:r>
    </w:p>
    <w:p>
      <w:pPr>
        <w:pStyle w:val="ListBullet"/>
      </w:pPr>
      <w:r>
        <w:t>Verlagseinräumung Silberfarn: Entwurf regelt mechanische Rechte und Sync, aber nicht KI-Training, Promptlogs oder Dataset-Verwertung.</w:t>
      </w:r>
    </w:p>
    <w:p>
      <w:pPr>
        <w:pStyle w:val="ListBullet"/>
      </w:pPr>
      <w:r>
        <w:t>Kundenvertrag: Auerbach garantiert „weltweite werbliche Nutzbarkeit“, obwohl Rechtekette noch offen ist.</w:t>
      </w:r>
    </w:p>
    <w:p>
      <w:pPr>
        <w:pStyle w:val="Heading2"/>
      </w:pPr>
      <w:r>
        <w:rPr>
          <w:rFonts w:ascii="Times New Roman" w:hAnsi="Times New Roman"/>
        </w:rPr>
        <w:t>Harte Lücken</w:t>
      </w:r>
    </w:p>
    <w:p>
      <w:pPr>
        <w:pStyle w:val="ListNumber"/>
      </w:pPr>
      <w:r>
        <w:t>Wer ist Inhaber des Masters bei finalem Bounce?</w:t>
      </w:r>
    </w:p>
    <w:p>
      <w:pPr>
        <w:pStyle w:val="ListNumber"/>
      </w:pPr>
      <w:r>
        <w:t>Ist Henning Valtins Demo eine eigenständige Vorveröffentlichung oder nur Pitchmaterial?</w:t>
      </w:r>
    </w:p>
    <w:p>
      <w:pPr>
        <w:pStyle w:val="ListNumber"/>
      </w:pPr>
      <w:r>
        <w:t>Haben Fredwina und Henning einer europaweiten Werbenutzung zugestimmt?</w:t>
      </w:r>
    </w:p>
    <w:p>
      <w:pPr>
        <w:pStyle w:val="ListNumber"/>
      </w:pPr>
      <w:r>
        <w:t>Deckt Neuronest-AGB kommerzielle Exklusivnutzung oder nur Nutzung des Outputs?</w:t>
      </w:r>
    </w:p>
    <w:p>
      <w:pPr>
        <w:pStyle w:val="ListNumber"/>
      </w:pPr>
      <w:r>
        <w:t>Kann Auerbach gegen Nachtbogen verteidigen, ohne eigenes Rechtekettenproblem offenzulegen?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