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Vergleichsnotiz Releasefenster</w:t>
      </w:r>
    </w:p>
    <w:p>
      <w:pPr>
        <w:jc w:val="left"/>
      </w:pPr>
      <w:r>
        <w:t>Stand: 20.05.2026, 09:30 Uhr.</w:t>
      </w:r>
    </w:p>
    <w:p>
      <w:pPr>
        <w:pStyle w:val="Heading2"/>
      </w:pPr>
      <w:r>
        <w:rPr>
          <w:rFonts w:ascii="Times New Roman" w:hAnsi="Times New Roman"/>
        </w:rPr>
        <w:t>Wirtschaftliche Lage</w:t>
      </w:r>
    </w:p>
    <w:p>
      <w:pPr>
        <w:jc w:val="left"/>
      </w:pPr>
      <w:r>
        <w:t>Der Werbekunde kann den Track bis 24.05.2026 austauschen, verliert dann aber bereits gebuchte Schnitt- und Lokalisierungskosten. Auerbach will den Track halten, aber nicht mit einem ungeklärten Unterlassungsrisiko in fünf Ländern starten. Nachtbogen scheint vor allem eine Beteiligung oder Entfernung der Preview zu wollen. Fredwina und Henning wollen Credits und Geld, weniger eine Sperre.</w:t>
      </w:r>
    </w:p>
    <w:p>
      <w:pPr>
        <w:pStyle w:val="Heading2"/>
      </w:pPr>
      <w:r>
        <w:rPr>
          <w:rFonts w:ascii="Times New Roman" w:hAnsi="Times New Roman"/>
        </w:rPr>
        <w:t>Mögliche Lösungspakete</w:t>
      </w:r>
    </w:p>
    <w:p>
      <w:pPr>
        <w:pStyle w:val="Heading3"/>
      </w:pPr>
      <w:r>
        <w:rPr>
          <w:rFonts w:ascii="Times New Roman" w:hAnsi="Times New Roman"/>
        </w:rPr>
        <w:t>Paket A: Technische Verteidigung und kein Geld an Nachtbogen</w:t>
      </w:r>
    </w:p>
    <w:p>
      <w:pPr>
        <w:pStyle w:val="ListBullet"/>
      </w:pPr>
      <w:r>
        <w:t>Vollständiger Master von Nachtbogen anfordern.</w:t>
      </w:r>
    </w:p>
    <w:p>
      <w:pPr>
        <w:pStyle w:val="ListBullet"/>
      </w:pPr>
      <w:r>
        <w:t>Spektrogramm und DAW-Projekt prüfen.</w:t>
      </w:r>
    </w:p>
    <w:p>
      <w:pPr>
        <w:pStyle w:val="ListBullet"/>
      </w:pPr>
      <w:r>
        <w:t>Streamdeck bekommt vorläufige technische Antwort.</w:t>
      </w:r>
    </w:p>
    <w:p>
      <w:pPr>
        <w:pStyle w:val="ListBullet"/>
      </w:pPr>
      <w:r>
        <w:t>Risiko: Plattform blockt vor Launch trotzdem.</w:t>
      </w:r>
    </w:p>
    <w:p>
      <w:pPr>
        <w:pStyle w:val="Heading3"/>
      </w:pPr>
      <w:r>
        <w:rPr>
          <w:rFonts w:ascii="Times New Roman" w:hAnsi="Times New Roman"/>
        </w:rPr>
        <w:t>Paket B: Vorläufige Release-Freigabe mit Hinterlegung</w:t>
      </w:r>
    </w:p>
    <w:p>
      <w:pPr>
        <w:pStyle w:val="ListBullet"/>
      </w:pPr>
      <w:r>
        <w:t>Keine Anerkennung einer Rechtsverletzung.</w:t>
      </w:r>
    </w:p>
    <w:p>
      <w:pPr>
        <w:pStyle w:val="ListBullet"/>
      </w:pPr>
      <w:r>
        <w:t>Nachtbogen erhält vorläufige Zahlung gegen Freigabe bis Abschluss technischer Prüfung.</w:t>
      </w:r>
    </w:p>
    <w:p>
      <w:pPr>
        <w:pStyle w:val="ListBullet"/>
      </w:pPr>
      <w:r>
        <w:t>Zahlung wird auf späteren Vergleich angerechnet.</w:t>
      </w:r>
    </w:p>
    <w:p>
      <w:pPr>
        <w:pStyle w:val="ListBullet"/>
      </w:pPr>
      <w:r>
        <w:t>Risiko: Signalwirkung und weitere Claims.</w:t>
      </w:r>
    </w:p>
    <w:p>
      <w:pPr>
        <w:pStyle w:val="Heading3"/>
      </w:pPr>
      <w:r>
        <w:rPr>
          <w:rFonts w:ascii="Times New Roman" w:hAnsi="Times New Roman"/>
        </w:rPr>
        <w:t>Paket C: Austausch des Presets und neuer Bounce</w:t>
      </w:r>
    </w:p>
    <w:p>
      <w:pPr>
        <w:pStyle w:val="ListBullet"/>
      </w:pPr>
      <w:r>
        <w:t>Glas-Percussion entfernen oder austauschen.</w:t>
      </w:r>
    </w:p>
    <w:p>
      <w:pPr>
        <w:pStyle w:val="ListBullet"/>
      </w:pPr>
      <w:r>
        <w:t>Hookline bleibt, aber Klangfarbe ändert sich.</w:t>
      </w:r>
    </w:p>
    <w:p>
      <w:pPr>
        <w:pStyle w:val="ListBullet"/>
      </w:pPr>
      <w:r>
        <w:t>Fredwina/Henning-Splits separat bereinigen.</w:t>
      </w:r>
    </w:p>
    <w:p>
      <w:pPr>
        <w:pStyle w:val="ListBullet"/>
      </w:pPr>
      <w:r>
        <w:t>Risiko: Werbekunde hält neue Fassung für schwächer.</w:t>
      </w:r>
    </w:p>
    <w:p>
      <w:pPr>
        <w:pStyle w:val="Heading2"/>
      </w:pPr>
      <w:r>
        <w:rPr>
          <w:rFonts w:ascii="Times New Roman" w:hAnsi="Times New Roman"/>
        </w:rPr>
        <w:t>Interne Empfehlung</w:t>
      </w:r>
    </w:p>
    <w:p>
      <w:pPr>
        <w:jc w:val="left"/>
      </w:pPr>
      <w:r>
        <w:t>Erst Beweissicherung, dann sehr kurze Antwort an Plattform und Gegner. Für Fredwina/Henning sofort Split-Sheet korrigieren und Vergütungsvorschlag machen, damit interne Urheberkette nicht den größeren Schaden verursacht.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