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Cue-Sheet und GEMA-Vorbereitung</w:t>
      </w:r>
    </w:p>
    <w:p>
      <w:pPr>
        <w:pStyle w:val="Heading2"/>
      </w:pPr>
      <w:r>
        <w:rPr>
          <w:rFonts w:ascii="Times New Roman" w:hAnsi="Times New Roman"/>
        </w:rPr>
        <w:t>Arbeitstitel</w:t>
      </w:r>
    </w:p>
    <w:p>
      <w:pPr>
        <w:jc w:val="left"/>
      </w:pPr>
      <w:r>
        <w:t>Nordlicht in Beton, 30-Sekunden-Werbespot, Hauptfassung Deutsch, Lokalisierungen geplant für Österreich, Niederlande, Frankreich und Spanien.</w:t>
      </w:r>
    </w:p>
    <w:p>
      <w:pPr>
        <w:pStyle w:val="Heading2"/>
      </w:pPr>
      <w:r>
        <w:rPr>
          <w:rFonts w:ascii="Times New Roman" w:hAnsi="Times New Roman"/>
        </w:rPr>
        <w:t>Vorläufige Werkdaten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Komposition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Maralda Auerbach / Henning Valtin streitig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Fredwina Zornau / Maralda Auerbach streitig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Silberfarn Edition KG, Entwurf 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Auerbach Soundworks GmbH, Producer-Beteiligung 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ISRC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noch nicht final vergeben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ISWC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noch nicht beantragt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Dauer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00:30 Spot, 00:15 Cutdown geplant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TV, Online, Social, POS-Screens, Messe, interne Präsentation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Split-Vorschlag nur für Verhandlung</w:t>
      </w:r>
    </w:p>
    <w:p>
      <w:pPr>
        <w:pStyle w:val="ListBullet"/>
      </w:pPr>
      <w:r>
        <w:t>Text: Fredwina Zornau 60 %, Maralda Auerbach 40 %.</w:t>
      </w:r>
    </w:p>
    <w:p>
      <w:pPr>
        <w:pStyle w:val="ListBullet"/>
      </w:pPr>
      <w:r>
        <w:t>Komposition: Henning Valtin 35 %, Maralda Auerbach 65 %.</w:t>
      </w:r>
    </w:p>
    <w:p>
      <w:pPr>
        <w:pStyle w:val="ListBullet"/>
      </w:pPr>
      <w:r>
        <w:t>Master: Auerbach 100 %, Producer-Bonus gesondert.</w:t>
      </w:r>
    </w:p>
    <w:p>
      <w:pPr>
        <w:jc w:val="left"/>
      </w:pPr>
      <w:r>
        <w:t>Dieser Vorschlag ist nicht als rechtliche Anerkennung gedacht. Er soll den Release ermöglichen und die Verwertungsgesellschaftenmeldung stabilisieren, solange der Streit technisch geprüft wird.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Bullet"/>
      </w:pPr>
      <w:r>
        <w:t>Darf die KI-gestützte Textfassung als Bearbeitung der Fredwina-Zeilen behandelt werden?</w:t>
      </w:r>
    </w:p>
    <w:p>
      <w:pPr>
        <w:pStyle w:val="ListBullet"/>
      </w:pPr>
      <w:r>
        <w:t>Muss Neuronest im Cue-Sheet erwähnt werden? Nach bisherigem Stand nein, aber AGB prüfen.</w:t>
      </w:r>
    </w:p>
    <w:p>
      <w:pPr>
        <w:pStyle w:val="ListBullet"/>
      </w:pPr>
      <w:r>
        <w:t>Deckt Silberfarn die Auslandsadministration oder braucht es Subpublisher?</w:t>
      </w:r>
    </w:p>
    <w:p>
      <w:pPr>
        <w:pStyle w:val="ListBullet"/>
      </w:pPr>
      <w:r>
        <w:t>Sind Werbekunde und Mediaagentur als Nutzer ausreichend freigestellt?</w:t>
      </w:r>
    </w:p>
    <w:p>
      <w:pPr>
        <w:pStyle w:val="Heading2"/>
      </w:pPr>
      <w:r>
        <w:rPr>
          <w:rFonts w:ascii="Times New Roman" w:hAnsi="Times New Roman"/>
        </w:rPr>
        <w:t>Praktische Warnung</w:t>
      </w:r>
    </w:p>
    <w:p>
      <w:pPr>
        <w:jc w:val="left"/>
      </w:pPr>
      <w:r>
        <w:t>Ein falsches Cue-Sheet kann später mehr Schaden machen als ein verspätetes Cue-Sheet. Erst Rechtekette plausibilisieren, dann melden. Wenn Fristdruck besteht, mit Vorbehalt und Änderungslog arbeiten.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