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Lizenz- und Vergleichsbausteine</w:t>
      </w:r>
    </w:p>
    <w:p>
      <w:pPr>
        <w:pStyle w:val="Heading2"/>
      </w:pPr>
      <w:r>
        <w:rPr>
          <w:rFonts w:ascii="Times New Roman" w:hAnsi="Times New Roman"/>
        </w:rPr>
        <w:t>Kein Anerkenntnis</w:t>
      </w:r>
    </w:p>
    <w:p>
      <w:pPr>
        <w:jc w:val="left"/>
      </w:pPr>
      <w:r>
        <w:t>Die Parteien sind sich darüber einig, dass diese Vereinbarung ohne Anerkennung einer Rechtspflicht und ohne Präjudiz für die zwischen ihnen streitigen tatsächlichen und rechtlichen Fragen geschlossen wird. Insbesondere bleibt offen, ob in der Aufnahme „Nordlicht in Beton“ Bestandteile der Aufnahme „Fenster aus Eis“ übernommen wurden.</w:t>
      </w:r>
    </w:p>
    <w:p>
      <w:pPr>
        <w:pStyle w:val="Heading2"/>
      </w:pPr>
      <w:r>
        <w:rPr>
          <w:rFonts w:ascii="Times New Roman" w:hAnsi="Times New Roman"/>
        </w:rPr>
        <w:t>Vorläufige Release-Duldung</w:t>
      </w:r>
    </w:p>
    <w:p>
      <w:pPr>
        <w:jc w:val="left"/>
      </w:pPr>
      <w:r>
        <w:t>Nachtbogen duldet die Veröffentlichung der Kampagnenfassung bis zum 31.08.2026 in den Gebieten Deutschland, Österreich, Niederlande, Frankreich und Spanien, sofern Auerbach binnen fünf Werktagen die in Anlage 2 bezeichneten Audiodateien und Projektunterlagen an die beiderseits beauftragte Sachverständige übergibt.</w:t>
      </w:r>
    </w:p>
    <w:p>
      <w:pPr>
        <w:pStyle w:val="Heading2"/>
      </w:pPr>
      <w:r>
        <w:rPr>
          <w:rFonts w:ascii="Times New Roman" w:hAnsi="Times New Roman"/>
        </w:rPr>
        <w:t>Technische Prüfung</w:t>
      </w:r>
    </w:p>
    <w:p>
      <w:pPr>
        <w:jc w:val="left"/>
      </w:pPr>
      <w:r>
        <w:t>Die Parteien beauftragen gemeinsam eine musiktechnische Prüfung zu den Zeitcodes 00:08 und 00:23 der Auerbach-Fassung sowie 01:12 bis 01:14 der Nachtbogen-Referenz. Die Prüfung betrifft nur technische und musikalische Tatsachen. Die rechtliche Bewertung bleibt den Parteien und gegebenenfalls dem Gericht vorbehalten.</w:t>
      </w:r>
    </w:p>
    <w:p>
      <w:pPr>
        <w:pStyle w:val="Heading2"/>
      </w:pPr>
      <w:r>
        <w:rPr>
          <w:rFonts w:ascii="Times New Roman" w:hAnsi="Times New Roman"/>
        </w:rPr>
        <w:t>Split-Bereinigung intern</w:t>
      </w:r>
    </w:p>
    <w:p>
      <w:pPr>
        <w:jc w:val="left"/>
      </w:pPr>
      <w:r>
        <w:t>Auerbach verpflichtet sich, Fredwina Zornau und Henning Valtin bis zur endgültigen Klärung im Cue-Sheet vorläufig zu benennen. Die Benennung begründet keine abschließende Anerkennung einer Miturheberschaft, verhindert aber eine Auswertung ohne nachvollziehbare Credits.</w:t>
      </w:r>
    </w:p>
    <w:p>
      <w:pPr>
        <w:pStyle w:val="Heading2"/>
      </w:pPr>
      <w:r>
        <w:rPr>
          <w:rFonts w:ascii="Times New Roman" w:hAnsi="Times New Roman"/>
        </w:rPr>
        <w:t>KI-Transparenz</w:t>
      </w:r>
    </w:p>
    <w:p>
      <w:pPr>
        <w:jc w:val="left"/>
      </w:pPr>
      <w:r>
        <w:t>Auerbach darf gegenüber Plattform, Werbekunde und Gericht offenlegen, dass Neuronest Audio Composer 4.3 als Werkzeug zur Skizzenerzeugung eingesetzt wurde. Neuronest erhält keine künstlerische Nennung, solange kein eigener menschlicher Beitrag einer natürlichen Person benannt wird.</w:t>
      </w:r>
    </w:p>
    <w:p>
      <w:pPr>
        <w:pStyle w:val="Heading2"/>
      </w:pPr>
      <w:r>
        <w:rPr>
          <w:rFonts w:ascii="Times New Roman" w:hAnsi="Times New Roman"/>
        </w:rPr>
        <w:t>Vertragsstrafe vorsichtig halten</w:t>
      </w:r>
    </w:p>
    <w:p>
      <w:pPr>
        <w:jc w:val="left"/>
      </w:pPr>
      <w:r>
        <w:t>Eine strafbewehrte Unterlassungserklärung kommt nur in Betracht, wenn die technische Prüfung eine tatsächliche Übernahme aus der Nachtbogen-Aufnahme stützt oder Auerbach aus wirtschaftlichen Gründen eine Bereinigung will. Eine zu weite Unterlassung darf keine eigenständig erzeugten Glaspercussion-Sounds erfassen.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