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Aktenintake-Checkliste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Kammer:</w:t>
      </w:r>
      <w:r>
        <w:t xml:space="preserve"> 8. Zivilkammer LG Leipzig</w:t>
      </w:r>
    </w:p>
    <w:p>
      <w:pPr>
        <w:jc w:val="left"/>
      </w:pPr>
      <w:r>
        <w:rPr>
          <w:b/>
        </w:rPr>
        <w:t>Vorsitz:</w:t>
      </w:r>
      <w:r>
        <w:t xml:space="preserve"> Dr. Annegret Tannenberg-Eichmueller</w:t>
      </w:r>
    </w:p>
    <w:p>
      <w:pPr>
        <w:jc w:val="left"/>
      </w:pPr>
      <w:r>
        <w:rPr>
          <w:b/>
        </w:rPr>
        <w:t>Geschäftsstelle:</w:t>
      </w:r>
      <w:r>
        <w:t xml:space="preserve"> Frau Lattermann</w:t>
      </w:r>
    </w:p>
    <w:p>
      <w:pPr>
        <w:jc w:val="left"/>
      </w:pPr>
      <w:r>
        <w:rPr>
          <w:b/>
        </w:rPr>
        <w:t>Eingangsdatum:</w:t>
      </w:r>
      <w:r>
        <w:t xml:space="preserve"> 14.01.2026</w:t>
      </w:r>
    </w:p>
    <w:p>
      <w:pPr>
        <w:jc w:val="left"/>
      </w:pPr>
      <w:r>
        <w:rPr>
          <w:b/>
        </w:rPr>
        <w:t>Haupttermin:</w:t>
      </w:r>
      <w:r>
        <w:t xml:space="preserve"> 17.09.2026, 09:30 Uhr, Saal 3.14</w:t>
      </w:r>
    </w:p>
    <w:p/>
    <w:p>
      <w:pPr>
        <w:pStyle w:val="Heading2"/>
      </w:pPr>
      <w:r>
        <w:rPr>
          <w:rFonts w:ascii="Times New Roman" w:hAnsi="Times New Roman"/>
        </w:rPr>
        <w:t>I. 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Radarwarner GmbH, Holzmarktstraße 12, 04109 Leipzig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[x]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Kläger-Vertr.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Dr. Miriam Feldkötter-Haas, Kanzlei Feldkötter &amp; Partner, Leipzig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[x]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Schreinmoor Bauträger AG, Plagwitzer Allee 1, 04229 Leipzig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[x]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Beklagten-Vertr.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Prof. Dr. Clemens Osterhoff-Bram, Frankfurt am Main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[x]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Sachliche Zuständigkeit</w:t>
      </w:r>
    </w:p>
    <w:p>
      <w:pPr>
        <w:pStyle w:val="ListBullet"/>
      </w:pPr>
      <w:r>
        <w:t>Werklohnklage: EUR 428.180 — über EUR 5.000 — LG zuständig gemäß § 23 Nr. 1, § 71 GVG. [x]</w:t>
      </w:r>
    </w:p>
    <w:p>
      <w:pPr>
        <w:pStyle w:val="ListBullet"/>
      </w:pPr>
      <w:r>
        <w:t>Handelssache prüfen: Beide Parteien kaufmännisch; Kammer für Handelssachen nicht gesondert angerufen; allgemeine Zivilkammer zuständig. [x]</w:t>
      </w:r>
    </w:p>
    <w:p>
      <w:pPr>
        <w:pStyle w:val="Heading2"/>
      </w:pPr>
      <w:r>
        <w:rPr>
          <w:rFonts w:ascii="Times New Roman" w:hAnsi="Times New Roman"/>
        </w:rPr>
        <w:t>III. Örtliche Zuständigkeit</w:t>
      </w:r>
    </w:p>
    <w:p>
      <w:pPr>
        <w:pStyle w:val="ListBullet"/>
      </w:pPr>
      <w:r>
        <w:t>Beklagtenitz Leipzig (§ 17 ZPO); Erfüllungsort Leipzig (VOB/B § 7); kein Rügeverlust geprüft. [x]</w:t>
      </w:r>
    </w:p>
    <w:p>
      <w:pPr>
        <w:pStyle w:val="Heading2"/>
      </w:pPr>
      <w:r>
        <w:rPr>
          <w:rFonts w:ascii="Times New Roman" w:hAnsi="Times New Roman"/>
        </w:rPr>
        <w:t>IV. Klageantrag (Intake-Fassung)</w:t>
      </w:r>
    </w:p>
    <w:p>
      <w:pPr>
        <w:ind w:left="567"/>
      </w:pPr>
      <w:r>
        <w:rPr>
          <w:i/>
        </w:rPr>
        <w:t>Die Beklagte wird verurteilt, an die Klägerin EUR 428.180,00 nebst Zinsen in Höhe von 9 Prozentpunkten über dem Basiszinssatz seit dem 12.12.2025 zu zahlen.</w:t>
      </w:r>
    </w:p>
    <w:p>
      <w:pPr>
        <w:jc w:val="left"/>
      </w:pPr>
      <w:r>
        <w:t>Beklagte: Klagabweisung; hilfsweise Aufrechnung EUR 612.500 Mangelbeseitigungskosten.</w:t>
      </w:r>
    </w:p>
    <w:p>
      <w:pPr>
        <w:pStyle w:val="Heading2"/>
      </w:pPr>
      <w:r>
        <w:rPr>
          <w:rFonts w:ascii="Times New Roman" w:hAnsi="Times New Roman"/>
        </w:rPr>
        <w:t>V. Schlüssigkeitsprüfung Klage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Werklohnvertrag § 631 BGB / VOB/B einbezogen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Schlüssig vorgetragen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Abnahme § 640 BGB / § 12 VOB/B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 (Abnahmeprotokoll 14.06.2023 vorgelegt)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Fälligkeit Schlussrechnung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Streitig; Vorprozess OLG Dresden 18 U 14/24 einschlägig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Höhe (Schlussrechnung)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1.247.840 gesamt; davon EUR 819.660 gezahlt; Rest EUR 428.180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§ 288 Abs. 2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Schlüssig ab Mahnung 12.12.2025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Hilfsaufrechnung Beklagte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Mängelrüge form- und fristgerecht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Mangelbeseitigungskosten EUR 612.500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Bestrittene Höhe; SV eingeholt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VOB/B § 13 Nr. 5 Nachbesserung verweigert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 § 13 Nr. 4 VOB/B (4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prüfen — läuft ab 14.06.2027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Gleichartigkeit § 387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Geldleistungen — gegeben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VII. Fristen und Termine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Was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Klageschrift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Klageerwiderung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Replik 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Beweisbeschluss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 Vellbruck Vorabfassung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mündliche Verhandlung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 Vellbruck ergänzend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Schlussverhandlung / Haupttermin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17.09.2026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VIII. Beizuziehende Akten</w:t>
      </w:r>
    </w:p>
    <w:p>
      <w:pPr>
        <w:pStyle w:val="ListBullet"/>
      </w:pPr>
      <w:r>
        <w:t>OLG Dresden 18 U 14/24 — Beiziehung beantragt, eingegangen 02.03.2026. [x]</w:t>
      </w:r>
    </w:p>
    <w:p>
      <w:pPr>
        <w:pStyle w:val="ListBullet"/>
      </w:pPr>
      <w:r>
        <w:t>StA Leipzig 188 Js 4711/26 — Beiziehungsantrag 08.04.2026; Akten nach § 170 II StPO-Einstellung übersandt. [x]</w:t>
      </w:r>
    </w:p>
    <w:p>
      <w:pPr>
        <w:pStyle w:val="Heading2"/>
      </w:pPr>
      <w:r>
        <w:rPr>
          <w:rFonts w:ascii="Times New Roman" w:hAnsi="Times New Roman"/>
        </w:rPr>
        <w:t>IX. Sonstiges</w:t>
      </w:r>
    </w:p>
    <w:p>
      <w:pPr>
        <w:pStyle w:val="ListBullet"/>
      </w:pPr>
      <w:r>
        <w:t>Prozesskostenhilfe Beklagte: Antrag 14.02.2026, abgelehnt 03.03.2026 (siehe Aktenstück 20).</w:t>
      </w:r>
    </w:p>
    <w:p>
      <w:pPr>
        <w:pStyle w:val="ListBullet"/>
      </w:pPr>
      <w:r>
        <w:t>Sachverständiger Prof. Vellbruck: Bestellung 22.04.2026, Gutachten Kostenvorschuss EUR 18.500 eingezahlt. [x]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