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03 — Relation Erste Stufe</w:t>
      </w:r>
    </w:p>
    <w:p>
      <w:pPr>
        <w:jc w:val="left"/>
      </w:pPr>
      <w:r>
        <w:rPr>
          <w:b/>
        </w:rPr>
        <w:t>AZ:</w:t>
      </w:r>
      <w:r>
        <w:t xml:space="preserve"> 8 O 188/26</w:t>
      </w:r>
    </w:p>
    <w:p>
      <w:pPr>
        <w:jc w:val="left"/>
      </w:pPr>
      <w:r>
        <w:rPr>
          <w:b/>
        </w:rPr>
        <w:t>Erstellerin:</w:t>
      </w:r>
      <w:r>
        <w:t xml:space="preserve"> Dr. Tannenberg-Eichmueller, VRiLG</w:t>
      </w:r>
    </w:p>
    <w:p>
      <w:pPr>
        <w:jc w:val="left"/>
      </w:pPr>
      <w:r>
        <w:rPr>
          <w:b/>
        </w:rPr>
        <w:t>Datum:</w:t>
      </w:r>
      <w:r>
        <w:t xml:space="preserve"> 18.04.2026 (nach Aktenschluss Schriftsatztausch)</w:t>
      </w:r>
    </w:p>
    <w:p/>
    <w:p>
      <w:pPr>
        <w:pStyle w:val="Heading2"/>
      </w:pPr>
      <w:r>
        <w:rPr>
          <w:rFonts w:ascii="Times New Roman" w:hAnsi="Times New Roman"/>
        </w:rPr>
        <w:t>I. Parteivortrag Klägerin</w:t>
      </w:r>
    </w:p>
    <w:p>
      <w:pPr>
        <w:pStyle w:val="Heading3"/>
      </w:pPr>
      <w:r>
        <w:rPr>
          <w:rFonts w:ascii="Times New Roman" w:hAnsi="Times New Roman"/>
        </w:rPr>
        <w:t>Werklohnforderung</w:t>
      </w:r>
    </w:p>
    <w:p>
      <w:pPr>
        <w:jc w:val="left"/>
      </w:pPr>
      <w:r>
        <w:t>Die Klägerin trägt vor, mit der Beklagten am 17.03.2022 einen Werkvertrag über die Errichtung des Rohbaus der Wohnanlage "Spreebogen Plagwitz" (32 Wohneinheiten, Plagwitzer Allee 17–23, Leipzig) abgeschlossen zu haben. Vertragsgrundlage sei die VOB/B 2016 (vereinbart in § 1 des Vertrages vom 17.03.2022). Die vereinbarte Vergütung habe EUR 1.247.840 betragen.</w:t>
      </w:r>
    </w:p>
    <w:p>
      <w:pPr>
        <w:jc w:val="left"/>
      </w:pPr>
      <w:r>
        <w:t>Der Rohbau sei fristgerecht fertiggestellt und am 14.06.2023 förmlich abgenommen worden (Abnahmeprotokoll Anlage K3). Nach Abzug von vier Abschlagszahlungen (gesamt EUR 819.660) verbleibe ein offener Restbetrag von EUR 428.180. Die Schlussrechnung vom 28.11.2025 sei prüfbar und fällig; die Beklagte sei mit Schreiben vom 12.12.2025 in Verzug gesetzt worden.</w:t>
      </w:r>
    </w:p>
    <w:p>
      <w:pPr>
        <w:jc w:val="left"/>
      </w:pPr>
      <w:r>
        <w:t>Zur Schlussrechnung verweise die Klägerin auf das Urteil des OLG Dresden (18 U 14/24), das die Prüfbarkeit der Schlussrechnung rechtskräftig festgestellt habe.</w:t>
      </w:r>
    </w:p>
    <w:p>
      <w:pPr>
        <w:pStyle w:val="Heading3"/>
      </w:pPr>
      <w:r>
        <w:rPr>
          <w:rFonts w:ascii="Times New Roman" w:hAnsi="Times New Roman"/>
        </w:rPr>
        <w:t>Zu den behaupteten Mängeln</w:t>
      </w:r>
    </w:p>
    <w:p>
      <w:pPr>
        <w:jc w:val="left"/>
      </w:pPr>
      <w:r>
        <w:t>Die Klägerin bestreite alle geltend gemachten Mängel. Die Rissbildung in den Kelleraußenwänden sei auf unzureichende Lastabschätzung des von der Beklagten beauftragten Statikers zurückzuführen, nicht auf Ausführungsfehler. Die WU-Beton-Rezeptur entspreche DIN EN 206, Expositionsklasse XC4/XD3. Die Bewehrungsführung im Treppenhaus sei durch den Bewehrungsplan Revision 3 (Anlage K17) dokumentiert. Privatgutachter Dipl.-Ing. Pohlmann bestätige: keine wesentlichen Mängel (Gutachten Anlage K22).</w:t>
      </w:r>
    </w:p>
    <w:p/>
    <w:p>
      <w:pPr>
        <w:pStyle w:val="Heading2"/>
      </w:pPr>
      <w:r>
        <w:rPr>
          <w:rFonts w:ascii="Times New Roman" w:hAnsi="Times New Roman"/>
        </w:rPr>
        <w:t>II. Parteivortrag Beklagte</w:t>
      </w:r>
    </w:p>
    <w:p>
      <w:pPr>
        <w:pStyle w:val="Heading3"/>
      </w:pPr>
      <w:r>
        <w:rPr>
          <w:rFonts w:ascii="Times New Roman" w:hAnsi="Times New Roman"/>
        </w:rPr>
        <w:t>Klagabweisung</w:t>
      </w:r>
    </w:p>
    <w:p>
      <w:pPr>
        <w:jc w:val="left"/>
      </w:pPr>
      <w:r>
        <w:t>Die Beklagte bestreite die Fälligkeit der Schlussrechnung. Trotz des OLG-Urteils seien noch Einwendungen gegen Einzelpositionen der Schlussrechnung offen (Überschreitungen vereinbarter Einheitspreise in Pos. 7.2 und 12.4). Die Klageforderung sei daher nicht in voller Höhe schlüssig.</w:t>
      </w:r>
    </w:p>
    <w:p>
      <w:pPr>
        <w:pStyle w:val="Heading3"/>
      </w:pPr>
      <w:r>
        <w:rPr>
          <w:rFonts w:ascii="Times New Roman" w:hAnsi="Times New Roman"/>
        </w:rPr>
        <w:t>Hilfsaufrechnung</w:t>
      </w:r>
    </w:p>
    <w:p>
      <w:pPr>
        <w:jc w:val="left"/>
      </w:pPr>
      <w:r>
        <w:t>Hilfsweise rechne die Beklagte mit Mangelbeseitigungskosten gemäß § 387 BGB, § 13 Nr. 5 VOB/B auf:</w:t>
      </w:r>
    </w:p>
    <w:p>
      <w:pPr>
        <w:pStyle w:val="ListNumber"/>
      </w:pPr>
      <w:r>
        <w:rPr>
          <w:b/>
        </w:rPr>
        <w:t>Risse Kelleraußenwände</w:t>
      </w:r>
      <w:r>
        <w:t>: Fachgutachterliche Kosten EUR 187.500 (Injektion, Abdichtung, Kellerwandnachbehandlung).</w:t>
      </w:r>
    </w:p>
    <w:p>
      <w:pPr>
        <w:pStyle w:val="ListNumber"/>
      </w:pPr>
      <w:r>
        <w:rPr>
          <w:b/>
        </w:rPr>
        <w:t>Mangelhafte WU-Beton-Ausführung</w:t>
      </w:r>
      <w:r>
        <w:t>: Kosten EUR 243.000 (Bohrproben ergeben w/z-Wert über 0,60 statt vertraglich max. 0,50).</w:t>
      </w:r>
    </w:p>
    <w:p>
      <w:pPr>
        <w:pStyle w:val="ListNumber"/>
      </w:pPr>
      <w:r>
        <w:rPr>
          <w:b/>
        </w:rPr>
        <w:t>Fehlende Bewehrung Treppenhaus</w:t>
      </w:r>
      <w:r>
        <w:t>: Kosten EUR 182.000 (Nachbewehrung, statische Nachrechnung, Öffnung Konstruktion).</w:t>
      </w:r>
    </w:p>
    <w:p>
      <w:pPr>
        <w:jc w:val="left"/>
      </w:pPr>
      <w:r>
        <w:t>Gesamt: EUR 612.500. Belegt durch Gerichtsgutachten Prof. Vellbruck (Anlage B14) sowie Vergleichsangebote dreier Fachunternehmen (Anlagen B15–B17).</w:t>
      </w:r>
    </w:p>
    <w:p>
      <w:pPr>
        <w:jc w:val="left"/>
      </w:pPr>
      <w:r>
        <w:t>Die Beklagte habe Mängel mit Schreiben vom 28.08.2023 gerügt und zur Nachbesserung aufgefordert. Die Klägerin habe Nachbesserung mit Schreiben vom 15.09.2023 verweigert.</w:t>
      </w:r>
    </w:p>
    <w:p/>
    <w:p>
      <w:pPr>
        <w:pStyle w:val="Heading2"/>
      </w:pPr>
      <w:r>
        <w:rPr>
          <w:rFonts w:ascii="Times New Roman" w:hAnsi="Times New Roman"/>
        </w:rPr>
        <w:t>III. Unstreitiger Sachverhalt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Punkt</w:t>
            </w:r>
          </w:p>
        </w:tc>
        <w:tc>
          <w:tcPr>
            <w:tcW w:type="dxa" w:w="4536"/>
          </w:tcPr>
          <w:p>
            <w:r>
              <w:rPr>
                <w:rFonts w:ascii="Times New Roman" w:hAnsi="Times New Roman"/>
                <w:b/>
                <w:sz w:val="20"/>
              </w:rPr>
              <w:t>Unstreitig</w:t>
            </w:r>
          </w:p>
        </w:tc>
      </w:tr>
      <w:tr>
        <w:tc>
          <w:tcPr>
            <w:tcW w:type="dxa" w:w="4536"/>
          </w:tcPr>
          <w:p>
            <w:r>
              <w:rPr>
                <w:rFonts w:ascii="Times New Roman" w:hAnsi="Times New Roman"/>
                <w:sz w:val="20"/>
              </w:rPr>
              <w:t>Vertragsschluss 17.03.2022</w:t>
            </w:r>
          </w:p>
        </w:tc>
        <w:tc>
          <w:tcPr>
            <w:tcW w:type="dxa" w:w="4536"/>
          </w:tcPr>
          <w:p>
            <w:r>
              <w:rPr>
                <w:rFonts w:ascii="Times New Roman" w:hAnsi="Times New Roman"/>
                <w:sz w:val="20"/>
              </w:rPr>
              <w:t>Ja</w:t>
            </w:r>
          </w:p>
        </w:tc>
      </w:tr>
      <w:tr>
        <w:tc>
          <w:tcPr>
            <w:tcW w:type="dxa" w:w="4536"/>
          </w:tcPr>
          <w:p>
            <w:r>
              <w:rPr>
                <w:rFonts w:ascii="Times New Roman" w:hAnsi="Times New Roman"/>
                <w:sz w:val="20"/>
              </w:rPr>
              <w:t>VOB/B-Einbeziehung</w:t>
            </w:r>
          </w:p>
        </w:tc>
        <w:tc>
          <w:tcPr>
            <w:tcW w:type="dxa" w:w="4536"/>
          </w:tcPr>
          <w:p>
            <w:r>
              <w:rPr>
                <w:rFonts w:ascii="Times New Roman" w:hAnsi="Times New Roman"/>
                <w:sz w:val="20"/>
              </w:rPr>
              <w:t>Ja</w:t>
            </w:r>
          </w:p>
        </w:tc>
      </w:tr>
      <w:tr>
        <w:tc>
          <w:tcPr>
            <w:tcW w:type="dxa" w:w="4536"/>
          </w:tcPr>
          <w:p>
            <w:r>
              <w:rPr>
                <w:rFonts w:ascii="Times New Roman" w:hAnsi="Times New Roman"/>
                <w:sz w:val="20"/>
              </w:rPr>
              <w:t>Vergütungssumme EUR 1.247.840</w:t>
            </w:r>
          </w:p>
        </w:tc>
        <w:tc>
          <w:tcPr>
            <w:tcW w:type="dxa" w:w="4536"/>
          </w:tcPr>
          <w:p>
            <w:r>
              <w:rPr>
                <w:rFonts w:ascii="Times New Roman" w:hAnsi="Times New Roman"/>
                <w:sz w:val="20"/>
              </w:rPr>
              <w:t>Ja</w:t>
            </w:r>
          </w:p>
        </w:tc>
      </w:tr>
      <w:tr>
        <w:tc>
          <w:tcPr>
            <w:tcW w:type="dxa" w:w="4536"/>
          </w:tcPr>
          <w:p>
            <w:r>
              <w:rPr>
                <w:rFonts w:ascii="Times New Roman" w:hAnsi="Times New Roman"/>
                <w:sz w:val="20"/>
              </w:rPr>
              <w:t>Abnahme 14.06.2023</w:t>
            </w:r>
          </w:p>
        </w:tc>
        <w:tc>
          <w:tcPr>
            <w:tcW w:type="dxa" w:w="4536"/>
          </w:tcPr>
          <w:p>
            <w:r>
              <w:rPr>
                <w:rFonts w:ascii="Times New Roman" w:hAnsi="Times New Roman"/>
                <w:sz w:val="20"/>
              </w:rPr>
              <w:t>Dem Grunde nach (Beweiserhebung zur Form)</w:t>
            </w:r>
          </w:p>
        </w:tc>
      </w:tr>
      <w:tr>
        <w:tc>
          <w:tcPr>
            <w:tcW w:type="dxa" w:w="4536"/>
          </w:tcPr>
          <w:p>
            <w:r>
              <w:rPr>
                <w:rFonts w:ascii="Times New Roman" w:hAnsi="Times New Roman"/>
                <w:sz w:val="20"/>
              </w:rPr>
              <w:t>Abschlagszahlungen EUR 819.660</w:t>
            </w:r>
          </w:p>
        </w:tc>
        <w:tc>
          <w:tcPr>
            <w:tcW w:type="dxa" w:w="4536"/>
          </w:tcPr>
          <w:p>
            <w:r>
              <w:rPr>
                <w:rFonts w:ascii="Times New Roman" w:hAnsi="Times New Roman"/>
                <w:sz w:val="20"/>
              </w:rPr>
              <w:t>Ja</w:t>
            </w:r>
          </w:p>
        </w:tc>
      </w:tr>
      <w:tr>
        <w:tc>
          <w:tcPr>
            <w:tcW w:type="dxa" w:w="4536"/>
          </w:tcPr>
          <w:p>
            <w:r>
              <w:rPr>
                <w:rFonts w:ascii="Times New Roman" w:hAnsi="Times New Roman"/>
                <w:sz w:val="20"/>
              </w:rPr>
              <w:t>Restbetrag-Rechnung EUR 428.180</w:t>
            </w:r>
          </w:p>
        </w:tc>
        <w:tc>
          <w:tcPr>
            <w:tcW w:type="dxa" w:w="4536"/>
          </w:tcPr>
          <w:p>
            <w:r>
              <w:rPr>
                <w:rFonts w:ascii="Times New Roman" w:hAnsi="Times New Roman"/>
                <w:sz w:val="20"/>
              </w:rPr>
              <w:t>Betrag unstreitig, Fälligkeit streitig</w:t>
            </w:r>
          </w:p>
        </w:tc>
      </w:tr>
      <w:tr>
        <w:tc>
          <w:tcPr>
            <w:tcW w:type="dxa" w:w="4536"/>
          </w:tcPr>
          <w:p>
            <w:r>
              <w:rPr>
                <w:rFonts w:ascii="Times New Roman" w:hAnsi="Times New Roman"/>
                <w:sz w:val="20"/>
              </w:rPr>
              <w:t>Mängelrüge 28.08.2023</w:t>
            </w:r>
          </w:p>
        </w:tc>
        <w:tc>
          <w:tcPr>
            <w:tcW w:type="dxa" w:w="4536"/>
          </w:tcPr>
          <w:p>
            <w:r>
              <w:rPr>
                <w:rFonts w:ascii="Times New Roman" w:hAnsi="Times New Roman"/>
                <w:sz w:val="20"/>
              </w:rPr>
              <w:t>Rügezugabe, Berechtigung streitig</w:t>
            </w:r>
          </w:p>
        </w:tc>
      </w:tr>
      <w:tr>
        <w:tc>
          <w:tcPr>
            <w:tcW w:type="dxa" w:w="4536"/>
          </w:tcPr>
          <w:p>
            <w:r>
              <w:rPr>
                <w:rFonts w:ascii="Times New Roman" w:hAnsi="Times New Roman"/>
                <w:sz w:val="20"/>
              </w:rPr>
              <w:t>Verjährung: Fristbeginn 14.06.2023</w:t>
            </w:r>
          </w:p>
        </w:tc>
        <w:tc>
          <w:tcPr>
            <w:tcW w:type="dxa" w:w="4536"/>
          </w:tcPr>
          <w:p>
            <w:r>
              <w:rPr>
                <w:rFonts w:ascii="Times New Roman" w:hAnsi="Times New Roman"/>
                <w:sz w:val="20"/>
              </w:rPr>
              <w:t>Ja (Streit: 4 oder 5 Jahre)</w:t>
            </w:r>
          </w:p>
        </w:tc>
      </w:tr>
    </w:tbl>
    <w:p/>
    <w:p>
      <w:pPr>
        <w:pStyle w:val="Heading2"/>
      </w:pPr>
      <w:r>
        <w:rPr>
          <w:rFonts w:ascii="Times New Roman" w:hAnsi="Times New Roman"/>
        </w:rPr>
        <w:t>IV. Beweisangebote Katalog</w:t>
      </w:r>
    </w:p>
    <w:p>
      <w:pPr>
        <w:jc w:val="left"/>
      </w:pPr>
      <w:r>
        <w:rPr>
          <w:b/>
        </w:rPr>
        <w:t>Klägerin:</w:t>
      </w:r>
    </w:p>
    <w:p>
      <w:pPr>
        <w:pStyle w:val="ListBullet"/>
      </w:pPr>
      <w:r>
        <w:t>Abnahmeprotokoll 14.06.2023 (K3)</w:t>
      </w:r>
    </w:p>
    <w:p>
      <w:pPr>
        <w:pStyle w:val="ListBullet"/>
      </w:pPr>
      <w:r>
        <w:t>Schlussrechnung 28.11.2025 (K4)</w:t>
      </w:r>
    </w:p>
    <w:p>
      <w:pPr>
        <w:pStyle w:val="ListBullet"/>
      </w:pPr>
      <w:r>
        <w:t>OLG-Urteil 18 U 14/24 (K5)</w:t>
      </w:r>
    </w:p>
    <w:p>
      <w:pPr>
        <w:pStyle w:val="ListBullet"/>
      </w:pPr>
      <w:r>
        <w:t>Zeuge Eickenmueller (Werklauf)</w:t>
      </w:r>
    </w:p>
    <w:p>
      <w:pPr>
        <w:pStyle w:val="ListBullet"/>
      </w:pPr>
      <w:r>
        <w:t>Privatgutachten Pohlmann (K22)</w:t>
      </w:r>
    </w:p>
    <w:p>
      <w:pPr>
        <w:jc w:val="left"/>
      </w:pPr>
      <w:r>
        <w:rPr>
          <w:b/>
        </w:rPr>
        <w:t>Beklagte:</w:t>
      </w:r>
    </w:p>
    <w:p>
      <w:pPr>
        <w:pStyle w:val="ListBullet"/>
      </w:pPr>
      <w:r>
        <w:t>Mängelrügeschreiben 28.08.2023 (B3)</w:t>
      </w:r>
    </w:p>
    <w:p>
      <w:pPr>
        <w:pStyle w:val="ListBullet"/>
      </w:pPr>
      <w:r>
        <w:t>Gerichtsgutachten Vellbruck (B14)</w:t>
      </w:r>
    </w:p>
    <w:p>
      <w:pPr>
        <w:pStyle w:val="ListBullet"/>
      </w:pPr>
      <w:r>
        <w:t>Vergleichsangebote B15–B17</w:t>
      </w:r>
    </w:p>
    <w:p>
      <w:pPr>
        <w:pStyle w:val="ListBullet"/>
      </w:pPr>
      <w:r>
        <w:t>Zeuge Schwingenstein-Birkenhainer (Abnahme und Mängelfeststellung)</w:t>
      </w:r>
    </w:p>
    <w:p>
      <w:pPr>
        <w:pStyle w:val="ListBullet"/>
      </w:pPr>
      <w:r>
        <w:t>Antrag auf Einholung Obergutachten (abgelehnt — Begründung Aktenstück 11)</w:t>
      </w:r>
    </w:p>
    <w:p/>
    <w:p>
      <w:pPr>
        <w:pStyle w:val="Heading2"/>
      </w:pPr>
      <w:r>
        <w:rPr>
          <w:rFonts w:ascii="Times New Roman" w:hAnsi="Times New Roman"/>
        </w:rPr>
        <w:t>V. Rechtliche Grundfragen (Relation)</w:t>
      </w:r>
    </w:p>
    <w:p>
      <w:pPr>
        <w:pStyle w:val="ListNumber"/>
      </w:pPr>
      <w:r>
        <w:rPr>
          <w:b/>
        </w:rPr>
        <w:t>Abnahme wirksam?</w:t>
      </w:r>
      <w:r>
        <w:t xml:space="preserve"> — VOB/B § 12 Abs. 1: förmliche Abnahme liegt vor; doppelte Prüfung: auch konkludente Abnahme durch Inbenutzungnahme ab August 2023 (12 der 32 WE bezogen).</w:t>
      </w:r>
    </w:p>
    <w:p>
      <w:pPr>
        <w:pStyle w:val="ListNumber"/>
      </w:pPr>
      <w:r>
        <w:rPr>
          <w:b/>
        </w:rPr>
        <w:t>Fälligkeit Schlussrechnung</w:t>
      </w:r>
      <w:r>
        <w:t xml:space="preserve"> — VOB/B § 16 Nr. 3: prüfbar vorgelegt (OLG bestätigt); Fälligkeit 30 Tage nach Vorlage = 28.12.2025; Verzug ab 12.12.2025 (Mahnung).</w:t>
      </w:r>
    </w:p>
    <w:p>
      <w:pPr>
        <w:pStyle w:val="ListNumber"/>
      </w:pPr>
      <w:r>
        <w:rPr>
          <w:b/>
        </w:rPr>
        <w:t>Beweislast Mängel</w:t>
      </w:r>
      <w:r>
        <w:t xml:space="preserve"> — Nach Abnahme trägt Besteller Beweislast für Mangel (§ 640 BGB, BGH VII ZR 218/21): Beklagte beweispflichtig.</w:t>
      </w:r>
    </w:p>
    <w:p>
      <w:pPr>
        <w:pStyle w:val="ListNumber"/>
      </w:pPr>
      <w:r>
        <w:rPr>
          <w:b/>
        </w:rPr>
        <w:t>Aufrechnung</w:t>
      </w:r>
      <w:r>
        <w:t xml:space="preserve"> — § 387 BGB: Gleichartigkeit (Geld), Fälligkeit der Gegenforderung (Nachbesserung verweigert → Selbstvornahme-Anspruch fällig § 13 Nr. 5 Abs. 2 VOB/B), kein Aufrechnungsverbot.</w:t>
      </w:r>
    </w:p>
    <w:p>
      <w:pPr>
        <w:pStyle w:val="ListNumber"/>
      </w:pPr>
      <w:r>
        <w:rPr>
          <w:b/>
        </w:rPr>
        <w:t>Verjährung</w:t>
      </w:r>
      <w:r>
        <w:t xml:space="preserve"> — Kernfrage: VOB/B wirksam einbezogen → § 13 Nr. 4 VOB/B 4-Jahres-Frist; Ablauf 14.06.2027 (noch nicht verjährt). BGB-Weg (5 Jahre) wäre 14.06.2028. Teilmängel (Pos. Bewehrung Treppenhaus): Sonderrüge erst 04.11.2023 — Frist läuft bis 04.11.2027.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