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Streitige Tatsachenfragen</w:t>
      </w:r>
    </w:p>
    <w:p>
      <w:pPr>
        <w:jc w:val="left"/>
      </w:pPr>
      <w:r>
        <w:rPr>
          <w:b/>
        </w:rPr>
        <w:t>AZ:</w:t>
      </w:r>
      <w:r>
        <w:t xml:space="preserve"> 8 O 188/26</w:t>
      </w:r>
    </w:p>
    <w:p>
      <w:pPr>
        <w:jc w:val="left"/>
      </w:pPr>
      <w:r>
        <w:rPr>
          <w:b/>
        </w:rPr>
        <w:t>Erstellerin:</w:t>
      </w:r>
      <w:r>
        <w:t xml:space="preserve"> Dr. Tannenberg-Eichmueller</w:t>
      </w:r>
    </w:p>
    <w:p>
      <w:pPr>
        <w:jc w:val="left"/>
      </w:pPr>
      <w:r>
        <w:rPr>
          <w:b/>
        </w:rPr>
        <w:t>Stand:</w:t>
      </w:r>
      <w:r>
        <w:t xml:space="preserve"> Nach mündlicher Verhandlung 12.06.2026</w:t>
      </w:r>
    </w:p>
    <w:p/>
    <w:p>
      <w:pPr>
        <w:pStyle w:val="Heading2"/>
      </w:pPr>
      <w:r>
        <w:rPr>
          <w:rFonts w:ascii="Times New Roman" w:hAnsi="Times New Roman"/>
        </w:rPr>
        <w:t>Übersicht streitiger Tatsachenfragen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Frage</w:t>
            </w:r>
          </w:p>
        </w:tc>
        <w:tc>
          <w:tcPr>
            <w:tcW w:type="dxa" w:w="1814"/>
          </w:tcPr>
          <w:p>
            <w:r>
              <w:rPr>
                <w:rFonts w:ascii="Times New Roman" w:hAnsi="Times New Roman"/>
                <w:b/>
                <w:sz w:val="20"/>
              </w:rPr>
              <w:t>Beweislast</w:t>
            </w:r>
          </w:p>
        </w:tc>
        <w:tc>
          <w:tcPr>
            <w:tcW w:type="dxa" w:w="1814"/>
          </w:tcPr>
          <w:p>
            <w:r>
              <w:rPr>
                <w:rFonts w:ascii="Times New Roman" w:hAnsi="Times New Roman"/>
                <w:b/>
                <w:sz w:val="20"/>
              </w:rPr>
              <w:t>Beweismittel</w:t>
            </w:r>
          </w:p>
        </w:tc>
        <w:tc>
          <w:tcPr>
            <w:tcW w:type="dxa" w:w="1814"/>
          </w:tcPr>
          <w:p>
            <w:r>
              <w:rPr>
                <w:rFonts w:ascii="Times New Roman" w:hAnsi="Times New Roman"/>
                <w:b/>
                <w:sz w:val="20"/>
              </w:rPr>
              <w:t>Ergebnis nach HV</w:t>
            </w:r>
          </w:p>
        </w:tc>
      </w:tr>
      <w:tr>
        <w:tc>
          <w:tcPr>
            <w:tcW w:type="dxa" w:w="1814"/>
          </w:tcPr>
          <w:p>
            <w:r>
              <w:rPr>
                <w:rFonts w:ascii="Times New Roman" w:hAnsi="Times New Roman"/>
                <w:sz w:val="20"/>
              </w:rPr>
              <w:t>T1</w:t>
            </w:r>
          </w:p>
        </w:tc>
        <w:tc>
          <w:tcPr>
            <w:tcW w:type="dxa" w:w="1814"/>
          </w:tcPr>
          <w:p>
            <w:r>
              <w:rPr>
                <w:rFonts w:ascii="Times New Roman" w:hAnsi="Times New Roman"/>
                <w:sz w:val="20"/>
              </w:rPr>
              <w:t>Art der Abnahme (förmlich oder konkludent)</w:t>
            </w:r>
          </w:p>
        </w:tc>
        <w:tc>
          <w:tcPr>
            <w:tcW w:type="dxa" w:w="1814"/>
          </w:tcPr>
          <w:p>
            <w:r>
              <w:rPr>
                <w:rFonts w:ascii="Times New Roman" w:hAnsi="Times New Roman"/>
                <w:sz w:val="20"/>
              </w:rPr>
              <w:t>Klägerin (Fälligkeit)</w:t>
            </w:r>
          </w:p>
        </w:tc>
        <w:tc>
          <w:tcPr>
            <w:tcW w:type="dxa" w:w="1814"/>
          </w:tcPr>
          <w:p>
            <w:r>
              <w:rPr>
                <w:rFonts w:ascii="Times New Roman" w:hAnsi="Times New Roman"/>
                <w:sz w:val="20"/>
              </w:rPr>
              <w:t>Protokoll K3, Zeuge Schwingenstein-Birkenhainer</w:t>
            </w:r>
          </w:p>
        </w:tc>
        <w:tc>
          <w:tcPr>
            <w:tcW w:type="dxa" w:w="1814"/>
          </w:tcPr>
          <w:p>
            <w:r>
              <w:rPr>
                <w:rFonts w:ascii="Times New Roman" w:hAnsi="Times New Roman"/>
                <w:sz w:val="20"/>
              </w:rPr>
              <w:t>Förmliche Abnahme 14.06.2023 bewiesen</w:t>
            </w:r>
          </w:p>
        </w:tc>
      </w:tr>
      <w:tr>
        <w:tc>
          <w:tcPr>
            <w:tcW w:type="dxa" w:w="1814"/>
          </w:tcPr>
          <w:p>
            <w:r>
              <w:rPr>
                <w:rFonts w:ascii="Times New Roman" w:hAnsi="Times New Roman"/>
                <w:sz w:val="20"/>
              </w:rPr>
              <w:t>T2</w:t>
            </w:r>
          </w:p>
        </w:tc>
        <w:tc>
          <w:tcPr>
            <w:tcW w:type="dxa" w:w="1814"/>
          </w:tcPr>
          <w:p>
            <w:r>
              <w:rPr>
                <w:rFonts w:ascii="Times New Roman" w:hAnsi="Times New Roman"/>
                <w:sz w:val="20"/>
              </w:rPr>
              <w:t>w/z-Wert WU-Beton unter 0,50?</w:t>
            </w:r>
          </w:p>
        </w:tc>
        <w:tc>
          <w:tcPr>
            <w:tcW w:type="dxa" w:w="1814"/>
          </w:tcPr>
          <w:p>
            <w:r>
              <w:rPr>
                <w:rFonts w:ascii="Times New Roman" w:hAnsi="Times New Roman"/>
                <w:sz w:val="20"/>
              </w:rPr>
              <w:t>Beklagte</w:t>
            </w:r>
          </w:p>
        </w:tc>
        <w:tc>
          <w:tcPr>
            <w:tcW w:type="dxa" w:w="1814"/>
          </w:tcPr>
          <w:p>
            <w:r>
              <w:rPr>
                <w:rFonts w:ascii="Times New Roman" w:hAnsi="Times New Roman"/>
                <w:sz w:val="20"/>
              </w:rPr>
              <w:t>Vellbruck, Pohlmann</w:t>
            </w:r>
          </w:p>
        </w:tc>
        <w:tc>
          <w:tcPr>
            <w:tcW w:type="dxa" w:w="1814"/>
          </w:tcPr>
          <w:p>
            <w:r>
              <w:rPr>
                <w:rFonts w:ascii="Times New Roman" w:hAnsi="Times New Roman"/>
                <w:sz w:val="20"/>
              </w:rPr>
              <w:t>Vellbruck: w/z 0,58–0,62; Pohlmann: 0,47–0,52 — Gericht folgt Vellbruck</w:t>
            </w:r>
          </w:p>
        </w:tc>
      </w:tr>
      <w:tr>
        <w:tc>
          <w:tcPr>
            <w:tcW w:type="dxa" w:w="1814"/>
          </w:tcPr>
          <w:p>
            <w:r>
              <w:rPr>
                <w:rFonts w:ascii="Times New Roman" w:hAnsi="Times New Roman"/>
                <w:sz w:val="20"/>
              </w:rPr>
              <w:t>T3</w:t>
            </w:r>
          </w:p>
        </w:tc>
        <w:tc>
          <w:tcPr>
            <w:tcW w:type="dxa" w:w="1814"/>
          </w:tcPr>
          <w:p>
            <w:r>
              <w:rPr>
                <w:rFonts w:ascii="Times New Roman" w:hAnsi="Times New Roman"/>
                <w:sz w:val="20"/>
              </w:rPr>
              <w:t>Ursache Risse Kelleraußenwände</w:t>
            </w:r>
          </w:p>
        </w:tc>
        <w:tc>
          <w:tcPr>
            <w:tcW w:type="dxa" w:w="1814"/>
          </w:tcPr>
          <w:p>
            <w:r>
              <w:rPr>
                <w:rFonts w:ascii="Times New Roman" w:hAnsi="Times New Roman"/>
                <w:sz w:val="20"/>
              </w:rPr>
              <w:t>Beklagte</w:t>
            </w:r>
          </w:p>
        </w:tc>
        <w:tc>
          <w:tcPr>
            <w:tcW w:type="dxa" w:w="1814"/>
          </w:tcPr>
          <w:p>
            <w:r>
              <w:rPr>
                <w:rFonts w:ascii="Times New Roman" w:hAnsi="Times New Roman"/>
                <w:sz w:val="20"/>
              </w:rPr>
              <w:t>Vellbruck, Pohlmann, Zeuge Eickenmueller</w:t>
            </w:r>
          </w:p>
        </w:tc>
        <w:tc>
          <w:tcPr>
            <w:tcW w:type="dxa" w:w="1814"/>
          </w:tcPr>
          <w:p>
            <w:r>
              <w:rPr>
                <w:rFonts w:ascii="Times New Roman" w:hAnsi="Times New Roman"/>
                <w:sz w:val="20"/>
              </w:rPr>
              <w:t>Vellbruck: Ausführungsfehler Beton; Pohlmann: Setzungsrisse neutral — Gericht: Ausführungsfehler überwiegend wahrscheinlich</w:t>
            </w:r>
          </w:p>
        </w:tc>
      </w:tr>
      <w:tr>
        <w:tc>
          <w:tcPr>
            <w:tcW w:type="dxa" w:w="1814"/>
          </w:tcPr>
          <w:p>
            <w:r>
              <w:rPr>
                <w:rFonts w:ascii="Times New Roman" w:hAnsi="Times New Roman"/>
                <w:sz w:val="20"/>
              </w:rPr>
              <w:t>T4</w:t>
            </w:r>
          </w:p>
        </w:tc>
        <w:tc>
          <w:tcPr>
            <w:tcW w:type="dxa" w:w="1814"/>
          </w:tcPr>
          <w:p>
            <w:r>
              <w:rPr>
                <w:rFonts w:ascii="Times New Roman" w:hAnsi="Times New Roman"/>
                <w:sz w:val="20"/>
              </w:rPr>
              <w:t>Fehlende Bewehrungsstäbe Treppenhaus (Raster 20 cm statt 12,5 cm)</w:t>
            </w:r>
          </w:p>
        </w:tc>
        <w:tc>
          <w:tcPr>
            <w:tcW w:type="dxa" w:w="1814"/>
          </w:tcPr>
          <w:p>
            <w:r>
              <w:rPr>
                <w:rFonts w:ascii="Times New Roman" w:hAnsi="Times New Roman"/>
                <w:sz w:val="20"/>
              </w:rPr>
              <w:t>Beklagte</w:t>
            </w:r>
          </w:p>
        </w:tc>
        <w:tc>
          <w:tcPr>
            <w:tcW w:type="dxa" w:w="1814"/>
          </w:tcPr>
          <w:p>
            <w:r>
              <w:rPr>
                <w:rFonts w:ascii="Times New Roman" w:hAnsi="Times New Roman"/>
                <w:sz w:val="20"/>
              </w:rPr>
              <w:t>Vellbruck, Bewehrungsplan K17 vs. Aufmaß</w:t>
            </w:r>
          </w:p>
        </w:tc>
        <w:tc>
          <w:tcPr>
            <w:tcW w:type="dxa" w:w="1814"/>
          </w:tcPr>
          <w:p>
            <w:r>
              <w:rPr>
                <w:rFonts w:ascii="Times New Roman" w:hAnsi="Times New Roman"/>
                <w:sz w:val="20"/>
              </w:rPr>
              <w:t>Vellbruck: Abweichung 34% der Stäbe fehlen — unstreitig nach Ergänzungsgutachten</w:t>
            </w:r>
          </w:p>
        </w:tc>
      </w:tr>
      <w:tr>
        <w:tc>
          <w:tcPr>
            <w:tcW w:type="dxa" w:w="1814"/>
          </w:tcPr>
          <w:p>
            <w:r>
              <w:rPr>
                <w:rFonts w:ascii="Times New Roman" w:hAnsi="Times New Roman"/>
                <w:sz w:val="20"/>
              </w:rPr>
              <w:t>T5</w:t>
            </w:r>
          </w:p>
        </w:tc>
        <w:tc>
          <w:tcPr>
            <w:tcW w:type="dxa" w:w="1814"/>
          </w:tcPr>
          <w:p>
            <w:r>
              <w:rPr>
                <w:rFonts w:ascii="Times New Roman" w:hAnsi="Times New Roman"/>
                <w:sz w:val="20"/>
              </w:rPr>
              <w:t>Mängelrüge formgerecht nach § 13 Nr. 5 VOB/B</w:t>
            </w:r>
          </w:p>
        </w:tc>
        <w:tc>
          <w:tcPr>
            <w:tcW w:type="dxa" w:w="1814"/>
          </w:tcPr>
          <w:p>
            <w:r>
              <w:rPr>
                <w:rFonts w:ascii="Times New Roman" w:hAnsi="Times New Roman"/>
                <w:sz w:val="20"/>
              </w:rPr>
              <w:t>Beklagte</w:t>
            </w:r>
          </w:p>
        </w:tc>
        <w:tc>
          <w:tcPr>
            <w:tcW w:type="dxa" w:w="1814"/>
          </w:tcPr>
          <w:p>
            <w:r>
              <w:rPr>
                <w:rFonts w:ascii="Times New Roman" w:hAnsi="Times New Roman"/>
                <w:sz w:val="20"/>
              </w:rPr>
              <w:t>B3 (Mängelrüge), Zeuge Schwingenstein-Birkenhainer</w:t>
            </w:r>
          </w:p>
        </w:tc>
        <w:tc>
          <w:tcPr>
            <w:tcW w:type="dxa" w:w="1814"/>
          </w:tcPr>
          <w:p>
            <w:r>
              <w:rPr>
                <w:rFonts w:ascii="Times New Roman" w:hAnsi="Times New Roman"/>
                <w:sz w:val="20"/>
              </w:rPr>
              <w:t>Rüge formgerecht; Nachbesserungsaufforderung klar</w:t>
            </w:r>
          </w:p>
        </w:tc>
      </w:tr>
      <w:tr>
        <w:tc>
          <w:tcPr>
            <w:tcW w:type="dxa" w:w="1814"/>
          </w:tcPr>
          <w:p>
            <w:r>
              <w:rPr>
                <w:rFonts w:ascii="Times New Roman" w:hAnsi="Times New Roman"/>
                <w:sz w:val="20"/>
              </w:rPr>
              <w:t>T6</w:t>
            </w:r>
          </w:p>
        </w:tc>
        <w:tc>
          <w:tcPr>
            <w:tcW w:type="dxa" w:w="1814"/>
          </w:tcPr>
          <w:p>
            <w:r>
              <w:rPr>
                <w:rFonts w:ascii="Times New Roman" w:hAnsi="Times New Roman"/>
                <w:sz w:val="20"/>
              </w:rPr>
              <w:t>Nachbesserungsverweigerung Klägerin</w:t>
            </w:r>
          </w:p>
        </w:tc>
        <w:tc>
          <w:tcPr>
            <w:tcW w:type="dxa" w:w="1814"/>
          </w:tcPr>
          <w:p>
            <w:r>
              <w:rPr>
                <w:rFonts w:ascii="Times New Roman" w:hAnsi="Times New Roman"/>
                <w:sz w:val="20"/>
              </w:rPr>
              <w:t>Beklagte</w:t>
            </w:r>
          </w:p>
        </w:tc>
        <w:tc>
          <w:tcPr>
            <w:tcW w:type="dxa" w:w="1814"/>
          </w:tcPr>
          <w:p>
            <w:r>
              <w:rPr>
                <w:rFonts w:ascii="Times New Roman" w:hAnsi="Times New Roman"/>
                <w:sz w:val="20"/>
              </w:rPr>
              <w:t>Schreiben 15.09.2023 (B8)</w:t>
            </w:r>
          </w:p>
        </w:tc>
        <w:tc>
          <w:tcPr>
            <w:tcW w:type="dxa" w:w="1814"/>
          </w:tcPr>
          <w:p>
            <w:r>
              <w:rPr>
                <w:rFonts w:ascii="Times New Roman" w:hAnsi="Times New Roman"/>
                <w:sz w:val="20"/>
              </w:rPr>
              <w:t>Unstreitig nach Aktenlage</w:t>
            </w:r>
          </w:p>
        </w:tc>
      </w:tr>
      <w:tr>
        <w:tc>
          <w:tcPr>
            <w:tcW w:type="dxa" w:w="1814"/>
          </w:tcPr>
          <w:p>
            <w:r>
              <w:rPr>
                <w:rFonts w:ascii="Times New Roman" w:hAnsi="Times New Roman"/>
                <w:sz w:val="20"/>
              </w:rPr>
              <w:t>T7</w:t>
            </w:r>
          </w:p>
        </w:tc>
        <w:tc>
          <w:tcPr>
            <w:tcW w:type="dxa" w:w="1814"/>
          </w:tcPr>
          <w:p>
            <w:r>
              <w:rPr>
                <w:rFonts w:ascii="Times New Roman" w:hAnsi="Times New Roman"/>
                <w:sz w:val="20"/>
              </w:rPr>
              <w:t>Kosten Mangelbeseitigung EUR 612.500 angemessen</w:t>
            </w:r>
          </w:p>
        </w:tc>
        <w:tc>
          <w:tcPr>
            <w:tcW w:type="dxa" w:w="1814"/>
          </w:tcPr>
          <w:p>
            <w:r>
              <w:rPr>
                <w:rFonts w:ascii="Times New Roman" w:hAnsi="Times New Roman"/>
                <w:sz w:val="20"/>
              </w:rPr>
              <w:t>Beklagte</w:t>
            </w:r>
          </w:p>
        </w:tc>
        <w:tc>
          <w:tcPr>
            <w:tcW w:type="dxa" w:w="1814"/>
          </w:tcPr>
          <w:p>
            <w:r>
              <w:rPr>
                <w:rFonts w:ascii="Times New Roman" w:hAnsi="Times New Roman"/>
                <w:sz w:val="20"/>
              </w:rPr>
              <w:t>Vergleichsangebote B15–B17, Vellbruck</w:t>
            </w:r>
          </w:p>
        </w:tc>
        <w:tc>
          <w:tcPr>
            <w:tcW w:type="dxa" w:w="1814"/>
          </w:tcPr>
          <w:p>
            <w:r>
              <w:rPr>
                <w:rFonts w:ascii="Times New Roman" w:hAnsi="Times New Roman"/>
                <w:sz w:val="20"/>
              </w:rPr>
              <w:t>Vellbruck bestätigt Plausibilität; Gericht: EUR 387.200 nach Verjährungsbereinigung</w:t>
            </w:r>
          </w:p>
        </w:tc>
      </w:tr>
      <w:tr>
        <w:tc>
          <w:tcPr>
            <w:tcW w:type="dxa" w:w="1814"/>
          </w:tcPr>
          <w:p>
            <w:r>
              <w:rPr>
                <w:rFonts w:ascii="Times New Roman" w:hAnsi="Times New Roman"/>
                <w:sz w:val="20"/>
              </w:rPr>
              <w:t>T8</w:t>
            </w:r>
          </w:p>
        </w:tc>
        <w:tc>
          <w:tcPr>
            <w:tcW w:type="dxa" w:w="1814"/>
          </w:tcPr>
          <w:p>
            <w:r>
              <w:rPr>
                <w:rFonts w:ascii="Times New Roman" w:hAnsi="Times New Roman"/>
                <w:sz w:val="20"/>
              </w:rPr>
              <w:t>Subventionsbetrug Eickenmueller erheblich?</w:t>
            </w:r>
          </w:p>
        </w:tc>
        <w:tc>
          <w:tcPr>
            <w:tcW w:type="dxa" w:w="1814"/>
          </w:tcPr>
          <w:p>
            <w:r>
              <w:rPr>
                <w:rFonts w:ascii="Times New Roman" w:hAnsi="Times New Roman"/>
                <w:sz w:val="20"/>
              </w:rPr>
              <w:t>— (Glaubwürdigkeit)</w:t>
            </w:r>
          </w:p>
        </w:tc>
        <w:tc>
          <w:tcPr>
            <w:tcW w:type="dxa" w:w="1814"/>
          </w:tcPr>
          <w:p>
            <w:r>
              <w:rPr>
                <w:rFonts w:ascii="Times New Roman" w:hAnsi="Times New Roman"/>
                <w:sz w:val="20"/>
              </w:rPr>
              <w:t>StA-Akte 188 Js 4711/26</w:t>
            </w:r>
          </w:p>
        </w:tc>
        <w:tc>
          <w:tcPr>
            <w:tcW w:type="dxa" w:w="1814"/>
          </w:tcPr>
          <w:p>
            <w:r>
              <w:rPr>
                <w:rFonts w:ascii="Times New Roman" w:hAnsi="Times New Roman"/>
                <w:sz w:val="20"/>
              </w:rPr>
              <w:t>Verfahren eingestellt § 170 II StPO; kein Beweiswert gegen Glaubwürdigkeit</w:t>
            </w:r>
          </w:p>
        </w:tc>
      </w:tr>
    </w:tbl>
    <w:p/>
    <w:p>
      <w:pPr>
        <w:pStyle w:val="Heading2"/>
      </w:pPr>
      <w:r>
        <w:rPr>
          <w:rFonts w:ascii="Times New Roman" w:hAnsi="Times New Roman"/>
        </w:rPr>
        <w:t>Detail: T2 — WU-Beton w/z-Wert</w:t>
      </w:r>
    </w:p>
    <w:p>
      <w:pPr>
        <w:jc w:val="left"/>
      </w:pPr>
      <w:r>
        <w:t>Die entscheidende technische Streitfrage. Prof. Vellbruck hat an 14 Bohrkernproben (Entnahmepunkte Kellerplatten und -wände) w/z-Werte zwischen 0,58 und 0,62 gemessen. Dipl.-Ing. Pohlmann hat an 8 Bohrkernproben Werte von 0,47 bis 0,52 ermittelt.</w:t>
      </w:r>
    </w:p>
    <w:p>
      <w:pPr>
        <w:jc w:val="left"/>
      </w:pPr>
      <w:r>
        <w:t>Die Differenz erklärt sich durch:</w:t>
      </w:r>
    </w:p>
    <w:p>
      <w:pPr>
        <w:pStyle w:val="ListBullet"/>
      </w:pPr>
      <w:r>
        <w:t>Verschiedene Entnahmeorte (Vellbruck: überwiegend Wandmitte; Pohlmann: überwiegend wandnaher Bereich)</w:t>
      </w:r>
    </w:p>
    <w:p>
      <w:pPr>
        <w:pStyle w:val="ListBullet"/>
      </w:pPr>
      <w:r>
        <w:t>Verschiedene Messmethoden: Vellbruck gemäß DIN 1048-5 Druckfestigkeit-Rückrechnung; Pohlmann direktes Titrations-Verfahren</w:t>
      </w:r>
    </w:p>
    <w:p>
      <w:pPr>
        <w:jc w:val="left"/>
      </w:pPr>
      <w:r>
        <w:t>Kammer wertet Vellbrucks Methodik als gerichtlich anerkannt und vorzugswürdig. Ergänzende Messungen Termin 05.05.2026 bestätigen Vellbruck.</w:t>
      </w:r>
    </w:p>
    <w:p/>
    <w:p>
      <w:pPr>
        <w:pStyle w:val="Heading2"/>
      </w:pPr>
      <w:r>
        <w:rPr>
          <w:rFonts w:ascii="Times New Roman" w:hAnsi="Times New Roman"/>
        </w:rPr>
        <w:t>Detail: T4 — Bewehrung Treppenhaus</w:t>
      </w:r>
    </w:p>
    <w:p>
      <w:pPr>
        <w:jc w:val="left"/>
      </w:pPr>
      <w:r>
        <w:t>Unstreitig nach dem ergänzenden Gutachten Vellbruck vom 14.07.2026: Im Treppenhaus Abschnitte 2 und 3 (Geschosse EG bis 3.OG) fehlen 34% der nach Bewehrungsplan Rev. 3 vorgesehenen Stäbe (Raster 12,5 cm stattdessen 20 cm ausgeführt). Die Klägerin hat nach dem ergänzenden Gutachten nicht widersprochen. Zeuge Eickenmueller hat den abweichenden Einbau zunächst bestritten, dann auf "Anweisung des Bauleiters" verwiesen; Zeuge Schwingenstein-Birkenhainer bestreitet dies.</w:t>
      </w:r>
    </w:p>
    <w:p/>
    <w:p>
      <w:pPr>
        <w:pStyle w:val="Heading2"/>
      </w:pPr>
      <w:r>
        <w:rPr>
          <w:rFonts w:ascii="Times New Roman" w:hAnsi="Times New Roman"/>
        </w:rPr>
        <w:t>Detail: T8 — Bedeutung des Strafverfahrens</w:t>
      </w:r>
    </w:p>
    <w:p>
      <w:pPr>
        <w:jc w:val="left"/>
      </w:pPr>
      <w:r>
        <w:t>Die Strafanzeige der Beklagten gegen Polier Eickenmueller wegen Subventionsbetrugs (188 Js 4711/26) betrifft den Vorwurf, Eickenmueller habe geförderte Baustoffkosten (KfW-Programm 261) doppelt abgerechnet. Die StA Leipzig hat nach Ermittlungen das Verfahren gemäß § 170 Abs. 2 StPO eingestellt (Einstellungsvermerk 02.09.2026: kein hinreichender Tatverdacht). Die Einstellung schlägt nicht zwingend auf die Glaubwürdigkeit des Zeugen im Zivilverfahren durch, ist aber als Umstand in die Gesamtwürdigung einzubeziehen (§ 286 ZPO).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