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Beweiswürdigung Spaltenmodell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Erstellerin:</w:t>
      </w:r>
      <w:r>
        <w:t xml:space="preserve"> Dr. Tannenberg-Eichmueller</w:t>
      </w:r>
    </w:p>
    <w:p>
      <w:pPr>
        <w:jc w:val="left"/>
      </w:pPr>
      <w:r>
        <w:rPr>
          <w:b/>
        </w:rPr>
        <w:t>Stand:</w:t>
      </w:r>
      <w:r>
        <w:t xml:space="preserve"> nach Eingang ergänzenden Gutachten 14.07.2026</w:t>
      </w:r>
    </w:p>
    <w:p>
      <w:pPr>
        <w:jc w:val="left"/>
      </w:pPr>
      <w:r>
        <w:t>Grundlage: § 286 ZPO — freie Beweiswürdigung; Überzeugungsgrad: überwiegende Wahrscheinlichkeit genügt nicht; volle richterliche Überzeugung erforderlich.</w:t>
      </w:r>
    </w:p>
    <w:p/>
    <w:p>
      <w:pPr>
        <w:pStyle w:val="Heading2"/>
      </w:pPr>
      <w:r>
        <w:rPr>
          <w:rFonts w:ascii="Times New Roman" w:hAnsi="Times New Roman"/>
        </w:rPr>
        <w:t>Spaltenmodell: Sachverständigengutachten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Pohlmann (Privatgutachten)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Vellbruck (Gerichtsgutachten)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Kammergewichtung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Unabhängigkeit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Parteigutachter der Klägerin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Gerichtlich bestellt, unabhängig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Vellbruck +++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Stichprobengröße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 Bohrkerne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 Bohrkerne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Vellbruck ++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Entnahmeorte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Wandnah (Randbereich)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Wandmitte + Rand (repräsentativ)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Vellbruck ++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Messmethode w/z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Titration (weniger geeignet für WU-Beton)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DIN EN 12390-8 Eindringversuch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Vellbruck ++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Bewehrungsprüfung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Visuell (ohne Gerät)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Hilti Ferroscan + 3 Freilegungen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Vellbruck +++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Rissursachen-Analyse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Schwinden (neutral)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Ausführungsfehler (kausal)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Vellbruck + (schlüssiger begründet)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Kostenplausibilität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Kostenschätzung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612.500 mit Einzelposten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Vellbruck (einzige Grundlage)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Schlussfolgerung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wesentlicher Mangel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Mangel bejaht, Kosten EUR 612.500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Kammer folgt Vellbruck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Spaltenmodell: Zeugen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Eickenmueller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Schwingenstein-Birkenhainer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Kammergewichtung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Interessenlage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Früherer Arbeitnehmer Klägerin; eigene Verantwortung Bewehrung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Aktueller Arbeitnehmer Beklagte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Beide interessiert, Sch.-B. glaubwürdiger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Konsistenz mit Akten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Widersprüchlich (Subunternehmer erstmals erwähnt)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Konsistent mit Protokoll K3 und B3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Sch.-B. ++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Körpersprache / Auftreten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Nervös; zögerlich bei Kernfragen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Ruhig; sachlich; detailliert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Sch.-B. +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Neue Tatsachen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Subunternehmer Betonart Sachsen (neu, spät)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neuen Tatsachen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Eickenmueller — (Nachteil für Klägerin)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Strafverfahren-Konnex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Eingestellt § 170 II StPO; kein strafrechtlicher Vorwurf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involviert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Neutral für Glaubwürdigkeit, aber Gesamtbild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Gesamtglaubwürdigkeit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Mäßig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Kammer folgt Sch.-B. in Kernpunkten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Gesamtergebnis Beweiswürdigung</w:t>
      </w:r>
    </w:p>
    <w:p>
      <w:pPr>
        <w:pStyle w:val="ListNumber"/>
      </w:pPr>
      <w:r>
        <w:rPr>
          <w:b/>
        </w:rPr>
        <w:t>WU-Beton</w:t>
      </w:r>
      <w:r>
        <w:t>: Kammer ist überzeugt (§ 286 ZPO), dass der w/z-Wert die Vertragsvorgabe von 0,50 überschritten hat. Vellbrucks Methodik ist vorzugswürdig. Beweis geführt.</w:t>
      </w:r>
    </w:p>
    <w:p>
      <w:pPr>
        <w:pStyle w:val="ListNumber"/>
      </w:pPr>
      <w:r>
        <w:rPr>
          <w:b/>
        </w:rPr>
        <w:t>Risse Kelleraußenwände</w:t>
      </w:r>
      <w:r>
        <w:t>: Überwiegend auf Ausführungsfehler zurückzuführen. Zusammenschau Vellbruck + Zeugenaussage Sch.-B. (Risse erst nach Abnahme sichtbar). Beweis geführt.</w:t>
      </w:r>
    </w:p>
    <w:p>
      <w:pPr>
        <w:pStyle w:val="ListNumber"/>
      </w:pPr>
      <w:r>
        <w:rPr>
          <w:b/>
        </w:rPr>
        <w:t>Bewehrung Treppenhaus</w:t>
      </w:r>
      <w:r>
        <w:t>: Nach ergänzendem Gutachten Vellbruck und Freilegungen unstreitig. Beweis geführt.</w:t>
      </w:r>
    </w:p>
    <w:p>
      <w:pPr>
        <w:pStyle w:val="ListNumber"/>
      </w:pPr>
      <w:r>
        <w:rPr>
          <w:b/>
        </w:rPr>
        <w:t>Höhe Mangelbeseitigungskosten</w:t>
      </w:r>
      <w:r>
        <w:t>: EUR 612.500 nach Vellbruck plausibel. Einwendungen Klägerin (zu hohe Ansätze) wurden nicht durch Gegengutachten belegt. Kammer akzeptiert Vellbruck.</w:t>
      </w:r>
    </w:p>
    <w:p>
      <w:pPr>
        <w:pStyle w:val="ListNumber"/>
      </w:pPr>
      <w:r>
        <w:rPr>
          <w:b/>
        </w:rPr>
        <w:t>Teilweise Verjährung</w:t>
      </w:r>
      <w:r>
        <w:t>: Bewehrungsmangel Treppenhaus erst gesondert gerügt 04.11.2023; Frist läuft bis 04.11.2027 — nicht verjährt. Keller-Mängel gerügt 28.08.2023; Frist bis 28.08.2027 — nicht verjährt. Alle Mängelansprüche noch offen (Verjährungsfrage separiert in Aktenstück 13).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