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Aufrechnungsprüfung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Erstellerin:</w:t>
      </w:r>
      <w:r>
        <w:t xml:space="preserve"> Dr. Tannenberg-Eichmueller</w:t>
      </w:r>
    </w:p>
    <w:p>
      <w:pPr>
        <w:jc w:val="left"/>
      </w:pPr>
      <w:r>
        <w:rPr>
          <w:b/>
        </w:rPr>
        <w:t>Rechtsgrundlagen:</w:t>
      </w:r>
      <w:r>
        <w:t xml:space="preserve"> § 387 BGB, § 13 Nr. 5 VOB/B</w:t>
      </w:r>
    </w:p>
    <w:p/>
    <w:p>
      <w:pPr>
        <w:pStyle w:val="Heading2"/>
      </w:pPr>
      <w:r>
        <w:rPr>
          <w:rFonts w:ascii="Times New Roman" w:hAnsi="Times New Roman"/>
        </w:rPr>
        <w:t>I. Prüfungsschema Aufrechnung § 387 BGB</w:t>
      </w:r>
    </w:p>
    <w:p>
      <w:pPr>
        <w:pStyle w:val="Heading3"/>
      </w:pPr>
      <w:r>
        <w:rPr>
          <w:rFonts w:ascii="Times New Roman" w:hAnsi="Times New Roman"/>
        </w:rPr>
        <w:t>1. Gegenseitigkeit der Forderungen</w:t>
      </w:r>
    </w:p>
    <w:p>
      <w:pPr>
        <w:pStyle w:val="ListBullet"/>
      </w:pPr>
      <w:r>
        <w:t>Klägerin (Gläubigerin): Werklohnforderung EUR 428.180.</w:t>
      </w:r>
    </w:p>
    <w:p>
      <w:pPr>
        <w:pStyle w:val="ListBullet"/>
      </w:pPr>
      <w:r>
        <w:t>Beklagte (Schuldnerin der Klägerin): Mangelbeseitigungskostenersatz-Anspruch gegen Klägerin.</w:t>
      </w:r>
    </w:p>
    <w:p>
      <w:pPr>
        <w:pStyle w:val="ListBullet"/>
      </w:pPr>
      <w:r>
        <w:t>Gegenseitigkeit gegeben: Die Beklagte ist Schuldnerin der Hauptforderung und Gläubigerin der Gegenforderung.</w:t>
      </w:r>
    </w:p>
    <w:p>
      <w:pPr>
        <w:jc w:val="left"/>
      </w:pPr>
      <w:r>
        <w:t xml:space="preserve">Ergebnis: </w:t>
      </w:r>
      <w:r>
        <w:rPr>
          <w:b/>
        </w:rPr>
        <w:t>Gegenseitigkeit (+)</w:t>
      </w:r>
    </w:p>
    <w:p>
      <w:pPr>
        <w:pStyle w:val="Heading3"/>
      </w:pPr>
      <w:r>
        <w:rPr>
          <w:rFonts w:ascii="Times New Roman" w:hAnsi="Times New Roman"/>
        </w:rPr>
        <w:t>2. Gleichartigkeit der Leistungen</w:t>
      </w:r>
    </w:p>
    <w:p>
      <w:pPr>
        <w:pStyle w:val="ListBullet"/>
      </w:pPr>
      <w:r>
        <w:t>Beide Forderungen: Geldleistungen in Euro.</w:t>
      </w:r>
    </w:p>
    <w:p>
      <w:pPr>
        <w:jc w:val="left"/>
      </w:pPr>
      <w:r>
        <w:t xml:space="preserve">Ergebnis: </w:t>
      </w:r>
      <w:r>
        <w:rPr>
          <w:b/>
        </w:rPr>
        <w:t>Gleichartigkeit (+)</w:t>
      </w:r>
    </w:p>
    <w:p>
      <w:pPr>
        <w:pStyle w:val="Heading3"/>
      </w:pPr>
      <w:r>
        <w:rPr>
          <w:rFonts w:ascii="Times New Roman" w:hAnsi="Times New Roman"/>
        </w:rPr>
        <w:t>3. Fälligkeit der Gegenforderung</w:t>
      </w:r>
    </w:p>
    <w:p>
      <w:pPr>
        <w:jc w:val="left"/>
      </w:pPr>
      <w:r>
        <w:t>Die Beklagte hat Nachbesserung verlangt (Mängelrüge 28.08.2023). Die Klägerin hat Nachbesserung mit Schreiben 15.09.2023 verweigert. Damit sind die Voraussetzungen für den Selbstvornahme-Kostenersatzanspruch gemäß § 13 Nr. 5 Abs. 2 VOB/B erfüllt (Nachbesserung verweigert → Anspruch auf Vorschuss oder nachträglichen Kostenersatz). Die tatsächliche Selbstvornahme steht noch aus — Anspruch auf Erstattung künftiger Kosten ist nach Klärung der Höhe durch SV-Gutachten fällig.</w:t>
      </w:r>
    </w:p>
    <w:p>
      <w:pPr>
        <w:jc w:val="left"/>
      </w:pPr>
      <w:r>
        <w:t xml:space="preserve">Ergebnis: </w:t>
      </w:r>
      <w:r>
        <w:rPr>
          <w:b/>
        </w:rPr>
        <w:t>Fälligkeit (+) nach Vellbruck-Gutachten</w:t>
      </w:r>
    </w:p>
    <w:p>
      <w:pPr>
        <w:pStyle w:val="Heading3"/>
      </w:pPr>
      <w:r>
        <w:rPr>
          <w:rFonts w:ascii="Times New Roman" w:hAnsi="Times New Roman"/>
        </w:rPr>
        <w:t>4. Kein Aufrechnungsverbot</w:t>
      </w:r>
    </w:p>
    <w:p>
      <w:pPr>
        <w:pStyle w:val="ListBullet"/>
      </w:pPr>
      <w:r>
        <w:t>Kein vertragliches Aufrechnungsverbot; VOB/B § 16 Nr. 5 enthält kein solches.</w:t>
      </w:r>
    </w:p>
    <w:p>
      <w:pPr>
        <w:pStyle w:val="ListBullet"/>
      </w:pPr>
      <w:r>
        <w:t>Kein gesetzliches Aufrechnungsverbot nach §§ 393, 394 BGB einschlägig.</w:t>
      </w:r>
    </w:p>
    <w:p>
      <w:pPr>
        <w:jc w:val="left"/>
      </w:pPr>
      <w:r>
        <w:t xml:space="preserve">Ergebnis: </w:t>
      </w:r>
      <w:r>
        <w:rPr>
          <w:b/>
        </w:rPr>
        <w:t>Kein Aufrechnungsverbot (+)</w:t>
      </w:r>
    </w:p>
    <w:p>
      <w:pPr>
        <w:pStyle w:val="Heading3"/>
      </w:pPr>
      <w:r>
        <w:rPr>
          <w:rFonts w:ascii="Times New Roman" w:hAnsi="Times New Roman"/>
        </w:rPr>
        <w:t>5. Aufrechnungserklärung</w:t>
      </w:r>
    </w:p>
    <w:p>
      <w:pPr>
        <w:jc w:val="left"/>
      </w:pPr>
      <w:r>
        <w:t>RA Prof. Dr. Osterhoff-Bram hat in der mündlichen Verhandlung 12.06.2026 die Aufrechnung erklärt (Protokoll S. 3). Die Erklärung ist bedingungsfeindlich nach § 388 BGB; sie ist als "hilfsweise" vorgetragen, was als hilfsweise prozessuale Erklärung unter der Bedingung des Obsiegens mit der Klage in der Hauptforderung zulässig ist (BGH NJW 2013, 3452).</w:t>
      </w:r>
    </w:p>
    <w:p>
      <w:pPr>
        <w:jc w:val="left"/>
      </w:pPr>
      <w:r>
        <w:t xml:space="preserve">Ergebnis: </w:t>
      </w:r>
      <w:r>
        <w:rPr>
          <w:b/>
        </w:rPr>
        <w:t>Wirksame Aufrechnungserklärung (+)</w:t>
      </w:r>
    </w:p>
    <w:p/>
    <w:p>
      <w:pPr>
        <w:pStyle w:val="Heading2"/>
      </w:pPr>
      <w:r>
        <w:rPr>
          <w:rFonts w:ascii="Times New Roman" w:hAnsi="Times New Roman"/>
        </w:rPr>
        <w:t>II. Höhe der Gegenforderung nach Verjährungsbereinigung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Mängelposition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Vellbruck-Kosten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Verjährt?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Anrechenbar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WU-Beton Austausch + Nachbehandlung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193.500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(Rüge 28.08.2023, Frist bis 2027)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193.500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Kellerrisse Injektion Abdichtung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94.000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Bewehrung Treppenhaus (Nachbewehrung)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(Rüge 04.11.2023, Frist bis 2027)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Statische Nachrechnung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Bauleitung Nebenkosten (anteilig)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Sonderrüge Abflussrinnen (Nov. 2023, Frist abgelaufen?)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prüfen (außerhalb Gutachten)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Aufrechenbare Gegenforderung 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505.500</w:t>
            </w:r>
          </w:p>
        </w:tc>
      </w:tr>
    </w:tbl>
    <w:p>
      <w:pPr>
        <w:jc w:val="left"/>
      </w:pPr>
      <w:r>
        <w:t>Abzug: Klägerin bestreitet Eigenanteil Statikfehler (Beklagte-Statiker): 23% gem. § 254 BGB analog = EUR 116.265.</w:t>
      </w:r>
    </w:p>
    <w:p>
      <w:pPr>
        <w:jc w:val="left"/>
      </w:pPr>
      <w:r>
        <w:rPr>
          <w:b/>
        </w:rPr>
        <w:t>Nach Mitverursachungsabzug: EUR 389.235</w:t>
      </w:r>
      <w:r>
        <w:t xml:space="preserve"> (Kammer rundet: EUR 387.200 — vgl. Tenor Variante A).</w:t>
      </w:r>
    </w:p>
    <w:p/>
    <w:p>
      <w:pPr>
        <w:pStyle w:val="Heading2"/>
      </w:pPr>
      <w:r>
        <w:rPr>
          <w:rFonts w:ascii="Times New Roman" w:hAnsi="Times New Roman"/>
        </w:rPr>
        <w:t>III. Ergebnis Aufrechnung</w:t>
      </w:r>
    </w:p>
    <w:p>
      <w:pPr>
        <w:jc w:val="left"/>
      </w:pPr>
      <w:r>
        <w:t>Gegenforderung EUR 387.200 verrechnet mit Hauptforderung EUR 428.180.</w:t>
      </w:r>
    </w:p>
    <w:p>
      <w:pPr>
        <w:jc w:val="left"/>
      </w:pPr>
      <w:r>
        <w:t xml:space="preserve">Verbleibende Hauptforderung: EUR 428.180 - EUR 387.200 = </w:t>
      </w:r>
      <w:r>
        <w:rPr>
          <w:b/>
        </w:rPr>
        <w:t>EUR 40.980</w:t>
      </w:r>
      <w:r>
        <w:t>.</w:t>
      </w:r>
    </w:p>
    <w:p>
      <w:pPr>
        <w:jc w:val="left"/>
      </w:pPr>
      <w:r>
        <w:t>Die Klage ist in Höhe von EUR 40.980 begründet; im Übrigen wird die Klage abgewiesen.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