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Verjährungsprüfung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Rechtsgrundlagen:</w:t>
      </w:r>
      <w:r>
        <w:t xml:space="preserve"> § 634a BGB, § 13 Nr. 4 VOB/B, §§ 195 ff. BGB</w:t>
      </w:r>
    </w:p>
    <w:p/>
    <w:p>
      <w:pPr>
        <w:pStyle w:val="Heading2"/>
      </w:pPr>
      <w:r>
        <w:rPr>
          <w:rFonts w:ascii="Times New Roman" w:hAnsi="Times New Roman"/>
        </w:rPr>
        <w:t>I. Anwendbarkeit VOB/B</w:t>
      </w:r>
    </w:p>
    <w:p>
      <w:pPr>
        <w:jc w:val="left"/>
      </w:pPr>
      <w:r>
        <w:rPr>
          <w:b/>
        </w:rPr>
        <w:t>Frage:</w:t>
      </w:r>
      <w:r>
        <w:t xml:space="preserve"> Gilt die 4-jährige Verjährungsfrist des § 13 Nr. 4 VOB/B oder die 5-jährige des § 634a Abs. 1 Nr. 2 BGB?</w:t>
      </w:r>
    </w:p>
    <w:p>
      <w:pPr>
        <w:jc w:val="left"/>
      </w:pPr>
      <w:r>
        <w:rPr>
          <w:b/>
        </w:rPr>
        <w:t>Prüfung VOB/B-Einbeziehung:</w:t>
      </w:r>
    </w:p>
    <w:p>
      <w:pPr>
        <w:jc w:val="left"/>
      </w:pPr>
      <w:r>
        <w:t>§ 1 des Werkvertrages vom 17.03.2022 nimmt ausdrücklich auf VOB/B 2016 Bezug. Beide Parteien sind Unternehmer (§ 14 BGB). Die Einbeziehungsvoraussetzungen des § 310 Abs. 1 BGB sind erfüllt. Eine gesonderte Übersendung der VOB/B war nicht erforderlich (Klausel im Vertrag genügt nach BGH VII ZR 84/01).</w:t>
      </w:r>
    </w:p>
    <w:p>
      <w:pPr>
        <w:jc w:val="left"/>
      </w:pPr>
      <w:r>
        <w:rPr>
          <w:b/>
        </w:rPr>
        <w:t>Besonderheit VOB/B § 13 Nr. 4 Abs. 1:</w:t>
      </w:r>
    </w:p>
    <w:p>
      <w:pPr>
        <w:ind w:left="567"/>
      </w:pPr>
      <w:r>
        <w:rPr>
          <w:i/>
        </w:rPr>
        <w:t>Ist die VOB/B als Ganzes vereinbart, gilt die Verjährungsfrist von 4 Jahren für Bauwerke.</w:t>
      </w:r>
    </w:p>
    <w:p>
      <w:pPr>
        <w:jc w:val="left"/>
      </w:pPr>
      <w:r>
        <w:t>Voraussetzung "VOB/B als Ganzes": Die Kammer prüft, ob einzelne VOB/B-Klauseln individualvertraglich abgeändert wurden, was die Schutzwirkung aufheben könnte (BGH VII ZR 346/01). Hier: § 3 des Werkvertrages enthält eine modifizierte Abschlagszahlungsregelung (abweichend von VOB/B § 16 Nr. 1) — die Frage, ob dies die "Ganzes"-Voraussetzung beseitigt, ist umstritten.</w:t>
      </w:r>
    </w:p>
    <w:p>
      <w:pPr>
        <w:jc w:val="left"/>
      </w:pPr>
      <w:r>
        <w:rPr>
          <w:b/>
        </w:rPr>
        <w:t>Kammerposition:</w:t>
      </w:r>
      <w:r>
        <w:t xml:space="preserve"> Die Abweichung in § 3 ist geringfügig und berührt nicht den Kern der VOB/B-Regelung. Die VOB/B ist als Ganzes vereinbart. § 13 Nr. 4 VOB/B gilt.</w:t>
      </w:r>
    </w:p>
    <w:p>
      <w:pPr>
        <w:jc w:val="left"/>
      </w:pPr>
      <w:r>
        <w:rPr>
          <w:b/>
        </w:rPr>
        <w:t>Frist:</w:t>
      </w:r>
      <w:r>
        <w:t xml:space="preserve"> 4 Jahre ab Abnahme (14.06.2023) = Ablauf 14.06.2027.</w:t>
      </w:r>
    </w:p>
    <w:p/>
    <w:p>
      <w:pPr>
        <w:pStyle w:val="Heading2"/>
      </w:pPr>
      <w:r>
        <w:rPr>
          <w:rFonts w:ascii="Times New Roman" w:hAnsi="Times New Roman"/>
        </w:rPr>
        <w:t>II. Fristlauf je Mängelposition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Mängelposition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Erste Rüge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Fristbeginn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Fristende (4 J.)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Verjährt am Urteilsdatum (08.10.2026)?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WU-Beton (Keller allgemein)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28.08.2023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14.06.2023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14.06.2027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Kellerrisse (allgemein)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28.08.2023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14.06.2023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14.06.2027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Bewehrung Treppenhaus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04.11.2023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14.06.2023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14.06.2027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Abflussrinnen (Sonderrüge)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14.06.2023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14.06.2027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>
      <w:pPr>
        <w:jc w:val="left"/>
      </w:pPr>
      <w:r>
        <w:t xml:space="preserve">Ergebnis: </w:t>
      </w:r>
      <w:r>
        <w:rPr>
          <w:b/>
        </w:rPr>
        <w:t>Keine der gerügten Positionen ist verjährt</w:t>
      </w:r>
      <w:r>
        <w:t xml:space="preserve"> zum Zeitpunkt der Aufrechnungserklärung (12.06.2026) und des Urteils (08.10.2026).</w:t>
      </w:r>
    </w:p>
    <w:p/>
    <w:p>
      <w:pPr>
        <w:pStyle w:val="Heading2"/>
      </w:pPr>
      <w:r>
        <w:rPr>
          <w:rFonts w:ascii="Times New Roman" w:hAnsi="Times New Roman"/>
        </w:rPr>
        <w:t>III. Hemmung der Verjährung</w:t>
      </w:r>
    </w:p>
    <w:p>
      <w:pPr>
        <w:jc w:val="left"/>
      </w:pPr>
      <w:r>
        <w:t>Die Klägerin hatte am 20.04.2024 Klage erhoben (Vorprozess OLG Dresden 18 U 14/24 zu Schlussrechnungsfragen). Dieser Vorprozess betrifft nicht die Mängelansprüche. Hemmung gemäß § 204 BGB greift daher für Mängelwansprüche nicht.</w:t>
      </w:r>
    </w:p>
    <w:p>
      <w:pPr>
        <w:jc w:val="left"/>
      </w:pPr>
      <w:r>
        <w:t>Die Beklagte hat mit Einleitung des Klageverfahrens (14.01.2026) die Mängelansprüche als Hilfsaufrechnung eingebracht. § 204 Abs. 1 Nr. 5 BGB (Aufrechnung im Prozess hemmt Verjährung der Gegenforderung ab Einbringung). Hemmung: ab 06.03.2026 (Klageerwiderung mit Aufrechnungserklärung).</w:t>
      </w:r>
    </w:p>
    <w:p/>
    <w:p>
      <w:pPr>
        <w:pStyle w:val="Heading2"/>
      </w:pPr>
      <w:r>
        <w:rPr>
          <w:rFonts w:ascii="Times New Roman" w:hAnsi="Times New Roman"/>
        </w:rPr>
        <w:t>IV. Ergebnis</w:t>
      </w:r>
    </w:p>
    <w:p>
      <w:pPr>
        <w:jc w:val="left"/>
      </w:pPr>
      <w:r>
        <w:t>Die Mängelansprüche der Beklagten sind nicht verjährt. Alle Positionen können in die Aufrechnungsprüfung einbezogen werden. Die Verjährungseinrede der Klägerin wird zurückgewiesen.</w:t>
      </w:r>
    </w:p>
    <w:p>
      <w:pPr>
        <w:jc w:val="left"/>
      </w:pPr>
      <w:r>
        <w:t>Falls die Beklagte mit den Mängelbeseitigungsmaßnahmen bis 2027 zuwartet, droht Ablauf der Verjährungsfrist. Hinweis der Kammer: Maßnahmen bis spätestens 13.06.2027 einleiten oder Hemmung herbeiführen (Klage, Mahnbescheid).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