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14 — Tatbestand-Entwurf</w:t>
      </w:r>
    </w:p>
    <w:p>
      <w:pPr>
        <w:jc w:val="left"/>
      </w:pPr>
      <w:r>
        <w:rPr>
          <w:b/>
        </w:rPr>
        <w:t>AZ:</w:t>
      </w:r>
      <w:r>
        <w:t xml:space="preserve"> 8 O 188/26</w:t>
      </w:r>
    </w:p>
    <w:p>
      <w:pPr>
        <w:jc w:val="left"/>
      </w:pPr>
      <w:r>
        <w:rPr>
          <w:b/>
        </w:rPr>
        <w:t>§ 313 Abs. 1 Nr. 5 ZPO</w:t>
      </w:r>
    </w:p>
    <w:p>
      <w:pPr>
        <w:jc w:val="left"/>
      </w:pPr>
      <w:r>
        <w:rPr>
          <w:b/>
        </w:rPr>
        <w:t>Entwurfsstand:</w:t>
      </w:r>
      <w:r>
        <w:t xml:space="preserve"> 25.09.2026 (nach Schlussverhandlung 17.09.2026)</w:t>
      </w:r>
    </w:p>
    <w:p/>
    <w:p>
      <w:pPr>
        <w:pStyle w:val="Heading2"/>
      </w:pPr>
      <w:r>
        <w:rPr>
          <w:rFonts w:ascii="Times New Roman" w:hAnsi="Times New Roman"/>
        </w:rPr>
        <w:t>TATBESTAND</w:t>
      </w:r>
    </w:p>
    <w:p>
      <w:pPr>
        <w:jc w:val="left"/>
      </w:pPr>
      <w:r>
        <w:t>Die Klägerin macht restlichen Werklohn in Höhe von EUR 428.180,00 aus einem Werkvertrag über Rohbauarbeiten geltend.</w:t>
      </w:r>
    </w:p>
    <w:p>
      <w:pPr>
        <w:jc w:val="left"/>
      </w:pPr>
      <w:r>
        <w:rPr>
          <w:b/>
        </w:rPr>
        <w:t>Vertragsschluss und Leistungsgegenstand</w:t>
      </w:r>
    </w:p>
    <w:p>
      <w:pPr>
        <w:jc w:val="left"/>
      </w:pPr>
      <w:r>
        <w:t>Die Klägerin schloss am 17. März 2022 mit der Beklagten einen Werkvertrag über die Errichtung des Rohbaus der Wohnanlage "Spreebogen Plagwitz" (32 Wohneinheiten, Plagwitzer Allee 17 bis 23, Leipzig). Vertragsinhalt war die schlüsselfertige Rohbauherstellung nach VOB/B 2016 und den Leistungsbeschreibungen Anlagen 1 bis 4 des Vertrages. Die vereinbarte Vergütung betrug EUR 1.247.840,00.</w:t>
      </w:r>
    </w:p>
    <w:p>
      <w:pPr>
        <w:jc w:val="left"/>
      </w:pPr>
      <w:r>
        <w:rPr>
          <w:b/>
        </w:rPr>
        <w:t>Abnahme und Zahlung</w:t>
      </w:r>
    </w:p>
    <w:p>
      <w:pPr>
        <w:jc w:val="left"/>
      </w:pPr>
      <w:r>
        <w:t>Nach Fertigstellung des Rohbaus fand am 14. Juni 2023 eine förmliche Abnahme gemäß § 12 VOB/B statt. Das Abnahmeprotokoll (Anlage K3) weist Kleinmängel an Estrichübergängen und Fensterfugen aus, nicht jedoch die von der Beklagten nun geltend gemachten Mängel. Die Beklagte leistete vier Abschlagszahlungen in Höhe von insgesamt EUR 819.660,00. Nach Vorlage der Schlussrechnung vom 28. November 2025 (Anlage K4) verblieb ein Restbetrag von EUR 428.180,00.</w:t>
      </w:r>
    </w:p>
    <w:p>
      <w:pPr>
        <w:jc w:val="left"/>
      </w:pPr>
      <w:r>
        <w:rPr>
          <w:b/>
        </w:rPr>
        <w:t>Vorprozess OLG Dresden</w:t>
      </w:r>
    </w:p>
    <w:p>
      <w:pPr>
        <w:jc w:val="left"/>
      </w:pPr>
      <w:r>
        <w:t>Das Oberlandesgericht Dresden hat mit teilrechtskräftigem Urteil vom 12. November 2025 (18 U 14/24) festgestellt, dass die Schlussrechnung prüfbar vorgelegt wurde und die dort strittigen Einzelpositionen der Schlussrechnung der Klägerin zustehen.</w:t>
      </w:r>
    </w:p>
    <w:p>
      <w:pPr>
        <w:jc w:val="left"/>
      </w:pPr>
      <w:r>
        <w:rPr>
          <w:b/>
        </w:rPr>
        <w:t>Mahnschreiben und Klage</w:t>
      </w:r>
    </w:p>
    <w:p>
      <w:pPr>
        <w:jc w:val="left"/>
      </w:pPr>
      <w:r>
        <w:t>Die Klägerin mahnte am 12. Dezember 2025 unter Fristsetzung bis 31. Dezember 2025. Zahlung erfolgte nicht. Mit Eingang beim Landgericht Leipzig am 14. Januar 2026 erhob die Klägerin die vorliegende Klage.</w:t>
      </w:r>
    </w:p>
    <w:p>
      <w:pPr>
        <w:jc w:val="left"/>
      </w:pPr>
      <w:r>
        <w:rPr>
          <w:b/>
        </w:rPr>
        <w:t>Die Klägerin beantragt:</w:t>
      </w:r>
    </w:p>
    <w:p>
      <w:pPr>
        <w:jc w:val="left"/>
      </w:pPr>
      <w:r>
        <w:t>Die Beklagte wird verurteilt, an die Klägerin EUR 428.180,00 nebst Zinsen in Höhe von 9 Prozentpunkten über dem Basiszinssatz seit dem 12. Dezember 2025 zu zahlen.</w:t>
      </w:r>
    </w:p>
    <w:p>
      <w:pPr>
        <w:jc w:val="left"/>
      </w:pPr>
      <w:r>
        <w:rPr>
          <w:b/>
        </w:rPr>
        <w:t>Klageabweisung und Hilfsaufrechnung der Beklagten</w:t>
      </w:r>
    </w:p>
    <w:p>
      <w:pPr>
        <w:jc w:val="left"/>
      </w:pPr>
      <w:r>
        <w:t>Die Beklagte beantragt Klageabweisung. Sie bestreitet die Fälligkeit der Schlussrechnung in Einzelpositionen sowie das Nichtvorhandensein von Mängeln. Die Beklagte rechnet hilfsweise mit Mangelbeseitigungskosten in Höhe von EUR 612.500,00 auf.</w:t>
      </w:r>
    </w:p>
    <w:p>
      <w:pPr>
        <w:jc w:val="left"/>
      </w:pPr>
      <w:r>
        <w:t>Die Beklagte trägt vor, die Kelleraußenwände der Wohnanlage wiesen Risse auf; der eingebrachte WU-Beton entspreche nicht den vereinbarten technischen Anforderungen (w/z-Wert überschritte den Maximalwert von 0,50); im Treppenhaus fehle ein erheblicher Anteil der vertraglich vorgesehenen Bewehrungsstäbe. Die Mängel seien mit Schreiben vom 28. August 2023 (Anlage B3) gerügt worden. Nachbesserung sei mit Schreiben der Klägerin vom 15. September 2023 (Anlage B8) verweigert worden.</w:t>
      </w:r>
    </w:p>
    <w:p>
      <w:pPr>
        <w:jc w:val="left"/>
      </w:pPr>
      <w:r>
        <w:rPr>
          <w:b/>
        </w:rPr>
        <w:t>Zur Beweiserhebung</w:t>
      </w:r>
    </w:p>
    <w:p>
      <w:pPr>
        <w:jc w:val="left"/>
      </w:pPr>
      <w:r>
        <w:t>Das Gericht hat Beweis erhoben durch Einholung eines schriftlichen Sachverständigengutachtens des Gerichtsgutachters Prof. Dr.-Ing. Helmut Vellbruck (TU Dresden) sowie durch Vernehmung der Zeugen Wilhelm Eickenmueller und Thorsten Schwingenstein-Birkenhainer. Wegen des Ergebnisses der Beweisaufnahme wird auf das Gutachten vom 10. Juni 2026 und das ergänzende Gutachten vom 14. Juli 2026 sowie auf das Protokoll der mündlichen Verhandlung vom 12. Juni 2026 Bezug genommen.</w:t>
      </w:r>
    </w:p>
    <w:p>
      <w:pPr>
        <w:jc w:val="left"/>
      </w:pPr>
      <w:r>
        <w:t>Im Übrigen wird gemäß § 313 Abs. 2 ZPO auf die Schriftsätze der Parteien nebst Anlagen Bezug genommen.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