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— Entscheidungsgründe-Entwurf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§ 313 Abs. 1 Nr. 6 ZPO</w:t>
      </w:r>
    </w:p>
    <w:p>
      <w:pPr>
        <w:jc w:val="left"/>
      </w:pPr>
      <w:r>
        <w:rPr>
          <w:b/>
        </w:rPr>
        <w:t>Stand:</w:t>
      </w:r>
      <w:r>
        <w:t xml:space="preserve"> 25.09.2026</w:t>
      </w:r>
    </w:p>
    <w:p/>
    <w:p>
      <w:pPr>
        <w:pStyle w:val="Heading2"/>
      </w:pPr>
      <w:r>
        <w:rPr>
          <w:rFonts w:ascii="Times New Roman" w:hAnsi="Times New Roman"/>
        </w:rPr>
        <w:t>ENTSCHEIDUNGSGRÜNDE</w:t>
      </w:r>
    </w:p>
    <w:p>
      <w:pPr>
        <w:pStyle w:val="Heading3"/>
      </w:pPr>
      <w:r>
        <w:rPr>
          <w:rFonts w:ascii="Times New Roman" w:hAnsi="Times New Roman"/>
        </w:rPr>
        <w:t>A. Klage — Werklohnforderung EUR 428.180</w:t>
      </w:r>
    </w:p>
    <w:p>
      <w:pPr>
        <w:jc w:val="left"/>
      </w:pPr>
      <w:r>
        <w:rPr>
          <w:b/>
        </w:rPr>
        <w:t>I. Anspruchsgrundlage</w:t>
      </w:r>
    </w:p>
    <w:p>
      <w:pPr>
        <w:jc w:val="left"/>
      </w:pPr>
      <w:r>
        <w:t>Die Klägerin hat gegen die Beklagte einen Anspruch auf Zahlung des restlichen Werklohns gemäß §§ 631, 641 BGB i.V.m. § 16 Nr. 3 VOB/B.</w:t>
      </w:r>
    </w:p>
    <w:p>
      <w:pPr>
        <w:jc w:val="left"/>
      </w:pPr>
      <w:r>
        <w:rPr>
          <w:b/>
        </w:rPr>
        <w:t>II. Vertragsschluss und VOB/B-Einbeziehung</w:t>
      </w:r>
    </w:p>
    <w:p>
      <w:pPr>
        <w:jc w:val="left"/>
      </w:pPr>
      <w:r>
        <w:t>Der Werkvertrag vom 17. März 2022 ist unstreitig. Die VOB/B 2016 ist wirksam einbezogen (§ 1 des Vertrages; § 310 Abs. 1 BGB — beide Parteien Unternehmer). Die abweichende Abschlagszahlungsregelung in § 3 des Vertrages beseitigt nicht die Geltung der VOB/B als Ganzes.</w:t>
      </w:r>
    </w:p>
    <w:p>
      <w:pPr>
        <w:jc w:val="left"/>
      </w:pPr>
      <w:r>
        <w:rPr>
          <w:b/>
        </w:rPr>
        <w:t>III. Abnahme und Fälligkeit</w:t>
      </w:r>
    </w:p>
    <w:p>
      <w:pPr>
        <w:jc w:val="left"/>
      </w:pPr>
      <w:r>
        <w:t>Die Abnahme vom 14. Juni 2023 ist nach dem Ergebnis der Beweisaufnahme (Zeuge Schwingenstein-Birkenhainer, Abnahmeprotokoll K3) förmlich gemäß § 12 VOB/B erfolgt. Die Schlussrechnung vom 28. November 2025 war prüfbar (OLG Dresden 18 U 14/24, Rechtskraft). Die Klageforderung EUR 428.180 ist fällig.</w:t>
      </w:r>
    </w:p>
    <w:p>
      <w:pPr>
        <w:jc w:val="left"/>
      </w:pPr>
      <w:r>
        <w:rPr>
          <w:b/>
        </w:rPr>
        <w:t>IV. Kein Einwand gegen Fälligkeit aus Einzelpositionen Schlussrechnung</w:t>
      </w:r>
    </w:p>
    <w:p>
      <w:pPr>
        <w:jc w:val="left"/>
      </w:pPr>
      <w:r>
        <w:t>Das OLG-Urteil 18 U 14/24 bindet die Parteien hinsichtlich der Prüfbarkeit und der strittigen Einheitspreise der Positionen 7.2 und 12.4. Diese Fragen sind der Nachprüfung im vorliegenden Verfahren entzogen (materielle Rechtskraft § 322 ZPO).</w:t>
      </w:r>
    </w:p>
    <w:p>
      <w:pPr>
        <w:jc w:val="left"/>
      </w:pPr>
      <w:r>
        <w:rPr>
          <w:b/>
        </w:rPr>
        <w:t>V. Zwischenergebnis</w:t>
      </w:r>
    </w:p>
    <w:p>
      <w:pPr>
        <w:jc w:val="left"/>
      </w:pPr>
      <w:r>
        <w:t>Die Klage ist dem Grunde nach begründet. Die Klageforderung EUR 428.180 nebst Zinsen besteht.</w:t>
      </w:r>
    </w:p>
    <w:p/>
    <w:p>
      <w:pPr>
        <w:pStyle w:val="Heading3"/>
      </w:pPr>
      <w:r>
        <w:rPr>
          <w:rFonts w:ascii="Times New Roman" w:hAnsi="Times New Roman"/>
        </w:rPr>
        <w:t>B. Hilfsaufrechnung — Mängelbeseitigungskosten</w:t>
      </w:r>
    </w:p>
    <w:p>
      <w:pPr>
        <w:jc w:val="left"/>
      </w:pPr>
      <w:r>
        <w:rPr>
          <w:b/>
        </w:rPr>
        <w:t>I. Anspruchsgrundlage Gegenforderung</w:t>
      </w:r>
    </w:p>
    <w:p>
      <w:pPr>
        <w:jc w:val="left"/>
      </w:pPr>
      <w:r>
        <w:t>Die Beklagte hat gegen die Klägerin einen Anspruch auf Mangelbeseitigungskostenersatz gemäß §§ 634 Nr. 2, 637 BGB i.V.m. § 13 Nr. 5 Abs. 2 VOB/B (Selbstvornahme nach Nachbesserungsverweigerung).</w:t>
      </w:r>
    </w:p>
    <w:p>
      <w:pPr>
        <w:jc w:val="left"/>
      </w:pPr>
      <w:r>
        <w:rPr>
          <w:b/>
        </w:rPr>
        <w:t>II. Mangel</w:t>
      </w:r>
    </w:p>
    <w:p>
      <w:pPr>
        <w:jc w:val="left"/>
      </w:pPr>
      <w:r>
        <w:t>Das Gericht folgt dem Gerichtsgutachten Prof. Vellbruck, nicht dem Privatgutachten Dipl.-Ing. Pohlmann. Die Begründung ergibt sich aus der Beweiswürdigung (Aktenstück 11). Im Ergebnis sind folgende Mängel bewiesen:</w:t>
      </w:r>
    </w:p>
    <w:p>
      <w:pPr>
        <w:pStyle w:val="ListBullet"/>
      </w:pPr>
      <w:r>
        <w:t>WU-Beton mit w/z-Wert 0,58–0,62 statt vertraglich max. 0,50 (§ 633 Abs. 2 BGB: Abweichung von vereinbarter Beschaffenheit);</w:t>
      </w:r>
    </w:p>
    <w:p>
      <w:pPr>
        <w:pStyle w:val="ListBullet"/>
      </w:pPr>
      <w:r>
        <w:t>Risse in 6 Kelleraußenwandstellen mit Breite über 0,30 mm (DIN EN 1992-1-1 Tab. 7.1 N) als Folge des mangelhaften Betons;</w:t>
      </w:r>
    </w:p>
    <w:p>
      <w:pPr>
        <w:pStyle w:val="ListBullet"/>
      </w:pPr>
      <w:r>
        <w:t>Fehlen von 34% der Bewehrungsstäbe in Treppenhaus-Abschnitten 2 und 3 (unstreitig nach ergänzendem Gutachten).</w:t>
      </w:r>
    </w:p>
    <w:p>
      <w:pPr>
        <w:jc w:val="left"/>
      </w:pPr>
      <w:r>
        <w:rPr>
          <w:b/>
        </w:rPr>
        <w:t>III. Beweislast</w:t>
      </w:r>
    </w:p>
    <w:p>
      <w:pPr>
        <w:jc w:val="left"/>
      </w:pPr>
      <w:r>
        <w:t>Nach Abnahme trägt die Beklagte als Besteller die Beweislast für das Vorliegen von Mängeln (BGH VII ZR 218/21). Diese Beweislast ist durch das Gerichtsgutachten Vellbruck erfüllt.</w:t>
      </w:r>
    </w:p>
    <w:p>
      <w:pPr>
        <w:jc w:val="left"/>
      </w:pPr>
      <w:r>
        <w:rPr>
          <w:b/>
        </w:rPr>
        <w:t>IV. Nachbesserungsverweigerung</w:t>
      </w:r>
    </w:p>
    <w:p>
      <w:pPr>
        <w:jc w:val="left"/>
      </w:pPr>
      <w:r>
        <w:t>Die Klägerin hat Nachbesserung mit Schreiben vom 15. September 2023 verweigert. Damit ist der Anspruch auf Selbstvornahme-Kostenersatz gemäß § 13 Nr. 5 Abs. 2 VOB/B entstanden und fällig.</w:t>
      </w:r>
    </w:p>
    <w:p>
      <w:pPr>
        <w:jc w:val="left"/>
      </w:pPr>
      <w:r>
        <w:rPr>
          <w:b/>
        </w:rPr>
        <w:t>V. Mitverschulden / Mitverursachung § 254 BGB</w:t>
      </w:r>
    </w:p>
    <w:p>
      <w:pPr>
        <w:jc w:val="left"/>
      </w:pPr>
      <w:r>
        <w:t>Die Beklagte hat für den Teil der Rissschäden mitgehaftet, der auf die fehlerhafte Lastannahme des von ihr beauftragten Statikers zurückzuführen ist. Die Kammer schätzt den Mitverursachungsanteil der Beklagten auf 23% (§ 287 ZPO). Die Gegenforderung ist daher um 23% zu kürzen: EUR 612.500 × 0,77 = EUR 471.625. Abzüglich der verjährten Sonderrüge Abflussrinnen (EUR 100.000 × 0,77 = EUR 77.000 außerhalb Gutachten) verbleiben EUR 394.625. Kammer setzt nach § 287 ZPO auf EUR 387.200 fest.</w:t>
      </w:r>
    </w:p>
    <w:p>
      <w:pPr>
        <w:jc w:val="left"/>
      </w:pPr>
      <w:r>
        <w:rPr>
          <w:b/>
        </w:rPr>
        <w:t>VI. Verjährung</w:t>
      </w:r>
    </w:p>
    <w:p>
      <w:pPr>
        <w:jc w:val="left"/>
      </w:pPr>
      <w:r>
        <w:t>Die Mängelansprüche sind nicht verjährt (Verjährungsprüfung Aktenstück 13). § 13 Nr. 4 VOB/B: Frist 4 Jahre ab Abnahme 14.06.2023, Ablauf 14.06.2027.</w:t>
      </w:r>
    </w:p>
    <w:p>
      <w:pPr>
        <w:jc w:val="left"/>
      </w:pPr>
      <w:r>
        <w:rPr>
          <w:b/>
        </w:rPr>
        <w:t>VII. Ergebnis Aufrechnung</w:t>
      </w:r>
    </w:p>
    <w:p>
      <w:pPr>
        <w:jc w:val="left"/>
      </w:pPr>
      <w:r>
        <w:t>Die Hilfsaufrechnung ist in Höhe von EUR 387.200 begründet. Die Klageforderung EUR 428.180 wird hierdurch auf EUR 40.980 reduziert. Im Übrigen wird die Klage abgewiesen.</w:t>
      </w:r>
    </w:p>
    <w:p/>
    <w:p>
      <w:pPr>
        <w:pStyle w:val="Heading3"/>
      </w:pPr>
      <w:r>
        <w:rPr>
          <w:rFonts w:ascii="Times New Roman" w:hAnsi="Times New Roman"/>
        </w:rPr>
        <w:t>C. Zinsen</w:t>
      </w:r>
    </w:p>
    <w:p>
      <w:pPr>
        <w:jc w:val="left"/>
      </w:pPr>
      <w:r>
        <w:t>Auf den verbleibenden Betrag EUR 40.980 schuldet die Beklagte Zinsen gemäß § 288 Abs. 2 BGB (Verzug im Geschäftsverkehr) in Höhe von 9 Prozentpunkten über dem Basiszinssatz ab 12. Dezember 2025 (Mahnung).</w:t>
      </w:r>
    </w:p>
    <w:p/>
    <w:p>
      <w:pPr>
        <w:pStyle w:val="Heading3"/>
      </w:pPr>
      <w:r>
        <w:rPr>
          <w:rFonts w:ascii="Times New Roman" w:hAnsi="Times New Roman"/>
        </w:rPr>
        <w:t>D. Nebenentscheidungen</w:t>
      </w:r>
    </w:p>
    <w:p>
      <w:pPr>
        <w:jc w:val="left"/>
      </w:pPr>
      <w:r>
        <w:rPr>
          <w:b/>
        </w:rPr>
        <w:t>Kosten:</w:t>
      </w:r>
      <w:r>
        <w:t xml:space="preserve"> § 92 ZPO — quotal (Aktenstück 16).</w:t>
      </w:r>
    </w:p>
    <w:p>
      <w:pPr>
        <w:jc w:val="left"/>
      </w:pPr>
      <w:r>
        <w:rPr>
          <w:b/>
        </w:rPr>
        <w:t>Vorläufige Vollstreckbarkeit:</w:t>
      </w:r>
      <w:r>
        <w:t xml:space="preserve"> § 709 ZPO (Aktenstück 17).</w:t>
      </w:r>
    </w:p>
    <w:p>
      <w:pPr>
        <w:jc w:val="left"/>
      </w:pPr>
      <w:r>
        <w:rPr>
          <w:b/>
        </w:rPr>
        <w:t>Streitwert:</w:t>
      </w:r>
      <w:r>
        <w:t xml:space="preserve"> § 63 GKG (Aktenstück 18).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