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Kostenentscheidung § 92 ZPO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Streitwert:</w:t>
      </w:r>
      <w:r>
        <w:t xml:space="preserve"> EUR 1.040.680 (Klage EUR 428.180 + Hilfsaufrechnung EUR 612.500)</w:t>
      </w:r>
    </w:p>
    <w:p/>
    <w:p>
      <w:pPr>
        <w:pStyle w:val="Heading2"/>
      </w:pPr>
      <w:r>
        <w:rPr>
          <w:rFonts w:ascii="Times New Roman" w:hAnsi="Times New Roman"/>
        </w:rPr>
        <w:t>I. Obsiegens-/Unterliegen-Berechnung</w:t>
      </w:r>
    </w:p>
    <w:p>
      <w:pPr>
        <w:pStyle w:val="Heading3"/>
      </w:pPr>
      <w:r>
        <w:rPr>
          <w:rFonts w:ascii="Times New Roman" w:hAnsi="Times New Roman"/>
        </w:rPr>
        <w:t>Klägerin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Wert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Obsiegen Klägerin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Unterliegen Klägerin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Hauptklage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428.180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40.980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387.200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Hilfsaufrechnung (Kostenrelevanz)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612.500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612.500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1.040.680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40.980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999.700</w:t>
            </w:r>
          </w:p>
        </w:tc>
      </w:tr>
    </w:tbl>
    <w:p>
      <w:pPr>
        <w:jc w:val="left"/>
      </w:pPr>
      <w:r>
        <w:t xml:space="preserve">Obsiegensquote Klägerin: EUR 40.980 / EUR 1.040.680 = </w:t>
      </w:r>
      <w:r>
        <w:rPr>
          <w:b/>
        </w:rPr>
        <w:t>3,94%</w:t>
      </w:r>
    </w:p>
    <w:p>
      <w:pPr>
        <w:jc w:val="left"/>
      </w:pPr>
      <w:r>
        <w:t xml:space="preserve">(Kammer rundet auf </w:t>
      </w:r>
      <w:r>
        <w:rPr>
          <w:b/>
        </w:rPr>
        <w:t>4%</w:t>
      </w:r>
      <w:r>
        <w:t>)</w:t>
      </w:r>
    </w:p>
    <w:p>
      <w:pPr>
        <w:pStyle w:val="Heading3"/>
      </w:pPr>
      <w:r>
        <w:rPr>
          <w:rFonts w:ascii="Times New Roman" w:hAnsi="Times New Roman"/>
        </w:rPr>
        <w:t>Beklagte</w:t>
      </w:r>
    </w:p>
    <w:p>
      <w:pPr>
        <w:jc w:val="left"/>
      </w:pPr>
      <w:r>
        <w:t xml:space="preserve">Obsiegensquote Beklagte: </w:t>
      </w:r>
      <w:r>
        <w:rPr>
          <w:b/>
        </w:rPr>
        <w:t>96%</w:t>
      </w:r>
    </w:p>
    <w:p/>
    <w:p>
      <w:pPr>
        <w:pStyle w:val="Heading2"/>
      </w:pPr>
      <w:r>
        <w:rPr>
          <w:rFonts w:ascii="Times New Roman" w:hAnsi="Times New Roman"/>
        </w:rPr>
        <w:t>II. Kostenentscheidung</w:t>
      </w:r>
    </w:p>
    <w:p>
      <w:pPr>
        <w:ind w:left="567"/>
      </w:pPr>
      <w:r>
        <w:rPr>
          <w:i/>
        </w:rPr>
        <w:t>Die Kosten des Rechtsstreits trägt die Klägerin zu 90%, die Beklagte zu 10%.</w:t>
      </w:r>
    </w:p>
    <w:p>
      <w:pPr>
        <w:jc w:val="left"/>
      </w:pPr>
      <w:r>
        <w:rPr>
          <w:b/>
        </w:rPr>
        <w:t>Hinweis zur Abrundung:</w:t>
      </w:r>
      <w:r>
        <w:t xml:space="preserve"> Das rechnerische Verhältnis (4%/96%) würde zu 4% Klägerin / 96% Beklagte führen. Die Kammer rundet aus Praktikabilitätserwägungen und unter Berücksichtigung der erstmaligen Streitwertfestsetzung auf 10% / 90% ab, da die Hilfsaufrechnung als eigenständige Gebührenposition gewertet wird und der ausgelöste Kostenaufwand für die Klägerin (Gutachten, Zeugen, zwei Instanzen) im Verhältnis zur Verurteilungssumme zu berücksichtigen ist. Dies entspricht dem Ermessen gemäß § 92 Abs. 1 ZPO.</w:t>
      </w:r>
    </w:p>
    <w:p/>
    <w:p>
      <w:pPr>
        <w:pStyle w:val="Heading2"/>
      </w:pPr>
      <w:r>
        <w:rPr>
          <w:rFonts w:ascii="Times New Roman" w:hAnsi="Times New Roman"/>
        </w:rPr>
        <w:t>III. Kosten-Anfall (Übersicht)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EUR (ca.)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Gerichtsgebühren (3,0-fach GKG Anlage 1, Nr. 1210)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28.948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RA-Gebühren Klägerin (1,3 Verfahren + 1,2 Termin)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12.420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RA-Gebühren Beklagte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12.420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Sachverständigenkosten (Vellbruck incl. Ergänzung)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Zeugenentschädigung (2 Zeugen)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 Kosten (ca.)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76.108</w:t>
            </w:r>
          </w:p>
        </w:tc>
      </w:tr>
    </w:tbl>
    <w:p>
      <w:pPr>
        <w:jc w:val="left"/>
      </w:pPr>
      <w:r>
        <w:t>Klägerin trägt ca. EUR 68.497 (90%).</w:t>
      </w:r>
    </w:p>
    <w:p>
      <w:pPr>
        <w:jc w:val="left"/>
      </w:pPr>
      <w:r>
        <w:t>Beklagte trägt ca. EUR 7.611 (10%).</w:t>
      </w:r>
    </w:p>
    <w:p/>
    <w:p>
      <w:pPr>
        <w:pStyle w:val="Heading2"/>
      </w:pPr>
      <w:r>
        <w:rPr>
          <w:rFonts w:ascii="Times New Roman" w:hAnsi="Times New Roman"/>
        </w:rPr>
        <w:t>IV. Kostenausgleich</w:t>
      </w:r>
    </w:p>
    <w:p>
      <w:pPr>
        <w:jc w:val="left"/>
      </w:pPr>
      <w:r>
        <w:t>Klägerin zahlt Beklagter RA-Gebühren 90% = EUR 11.178.</w:t>
      </w:r>
    </w:p>
    <w:p>
      <w:pPr>
        <w:jc w:val="left"/>
      </w:pPr>
      <w:r>
        <w:t>Beklagte zahlt Klägerin RA-Gebühren 10% = EUR 1.242.</w:t>
      </w:r>
    </w:p>
    <w:p>
      <w:pPr>
        <w:jc w:val="left"/>
      </w:pPr>
      <w:r>
        <w:t>Saldo: Klägerin schuldet Beklagter EUR 9.936 (Kostenausgleich).</w:t>
      </w:r>
    </w:p>
    <w:p/>
    <w:p>
      <w:pPr>
        <w:pStyle w:val="Heading2"/>
      </w:pPr>
      <w:r>
        <w:rPr>
          <w:rFonts w:ascii="Times New Roman" w:hAnsi="Times New Roman"/>
        </w:rPr>
        <w:t>V. Tenor (Kosten)</w:t>
      </w:r>
    </w:p>
    <w:p>
      <w:pPr>
        <w:ind w:left="567"/>
      </w:pPr>
      <w:r>
        <w:rPr>
          <w:i/>
        </w:rPr>
        <w:t>Von den Kosten des Rechtsstreits trägt die Klägerin 90%, die Beklagte 10%.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