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Richterliche Vorberatung — Interne Notiz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Datum:</w:t>
      </w:r>
      <w:r>
        <w:t xml:space="preserve"> 18.09.2026 (Tag nach Schlussverhandlung 17.09.2026)</w:t>
      </w:r>
    </w:p>
    <w:p>
      <w:pPr>
        <w:jc w:val="left"/>
      </w:pPr>
      <w:r>
        <w:rPr>
          <w:b/>
        </w:rPr>
        <w:t>INTERN — NICHT ZU DEN AKTEN DER PARTEIEN</w:t>
      </w:r>
    </w:p>
    <w:p/>
    <w:p>
      <w:pPr>
        <w:pStyle w:val="Heading2"/>
      </w:pPr>
      <w:r>
        <w:rPr>
          <w:rFonts w:ascii="Times New Roman" w:hAnsi="Times New Roman"/>
        </w:rPr>
        <w:t>Beratungsergebnis</w:t>
      </w:r>
    </w:p>
    <w:p>
      <w:pPr>
        <w:jc w:val="left"/>
      </w:pPr>
      <w:r>
        <w:t>Die 8. Zivilkammer hat am 18.09.2026 in nichtöffentlicher Sitzung folgende Vorberatung durchgeführt:</w:t>
      </w:r>
    </w:p>
    <w:p/>
    <w:p>
      <w:pPr>
        <w:pStyle w:val="Heading3"/>
      </w:pPr>
      <w:r>
        <w:rPr>
          <w:rFonts w:ascii="Times New Roman" w:hAnsi="Times New Roman"/>
        </w:rPr>
        <w:t>Streitpunkt 1: VOB/B-Einbeziehung</w:t>
      </w:r>
    </w:p>
    <w:p>
      <w:pPr>
        <w:jc w:val="left"/>
      </w:pPr>
      <w:r>
        <w:rPr>
          <w:b/>
        </w:rPr>
        <w:t>Dr. Roosendaal:</w:t>
      </w:r>
      <w:r>
        <w:t xml:space="preserve"> Die abweichende Abschlagszahlungsregelung in § 3 des Werkvertrages könnte die "Ganzes"-Voraussetzung des § 13 Nr. 4 VOB/B beseitigen (Verweis auf BGH VII ZR 346/01). Dann 5-Jahres-Frist BGB.</w:t>
      </w:r>
    </w:p>
    <w:p>
      <w:pPr>
        <w:jc w:val="left"/>
      </w:pPr>
      <w:r>
        <w:rPr>
          <w:b/>
        </w:rPr>
        <w:t>Dr. Tannenberg-Eichmueller:</w:t>
      </w:r>
      <w:r>
        <w:t xml:space="preserve"> BGH-Rechtsprechung seitdem weiterentwickelt. NJW 2016, 2879: Einzelne Abweichungen, die nicht den Kern der VOB/B-Regelung betreffen, lassen die Gesamtgeltung unberührt. Die Abschlagszahlungsregelung ist kein Kernbestandteil. Ich halte 4 Jahre für richtig.</w:t>
      </w:r>
    </w:p>
    <w:p>
      <w:pPr>
        <w:jc w:val="left"/>
      </w:pPr>
      <w:r>
        <w:rPr>
          <w:b/>
        </w:rPr>
        <w:t>Wittfeldt:</w:t>
      </w:r>
      <w:r>
        <w:t xml:space="preserve"> Stimme der Vorsitzenden zu.</w:t>
      </w:r>
    </w:p>
    <w:p>
      <w:pPr>
        <w:jc w:val="left"/>
      </w:pPr>
      <w:r>
        <w:t xml:space="preserve">Ergebnis: </w:t>
      </w:r>
      <w:r>
        <w:rPr>
          <w:b/>
        </w:rPr>
        <w:t>4-Jahres-Frist, einstimmig.</w:t>
      </w:r>
    </w:p>
    <w:p/>
    <w:p>
      <w:pPr>
        <w:pStyle w:val="Heading3"/>
      </w:pPr>
      <w:r>
        <w:rPr>
          <w:rFonts w:ascii="Times New Roman" w:hAnsi="Times New Roman"/>
        </w:rPr>
        <w:t>Streitpunkt 2: Folgen für Rechenergebnis (Verjährung)</w:t>
      </w:r>
    </w:p>
    <w:p>
      <w:pPr>
        <w:jc w:val="left"/>
      </w:pPr>
      <w:r>
        <w:t>Keine Mängelansprüche verjährt. Entlastet die Beklagte nicht.</w:t>
      </w:r>
    </w:p>
    <w:p/>
    <w:p>
      <w:pPr>
        <w:pStyle w:val="Heading3"/>
      </w:pPr>
      <w:r>
        <w:rPr>
          <w:rFonts w:ascii="Times New Roman" w:hAnsi="Times New Roman"/>
        </w:rPr>
        <w:t>Streitpunkt 3: Mitverursachungsanteil Beklagte § 254 BGB</w:t>
      </w:r>
    </w:p>
    <w:p>
      <w:pPr>
        <w:jc w:val="left"/>
      </w:pPr>
      <w:r>
        <w:rPr>
          <w:b/>
        </w:rPr>
        <w:t>Dr. Roosendaal:</w:t>
      </w:r>
      <w:r>
        <w:t xml:space="preserve"> 23% Mitverursachung durch Statikfehler ist hoch geschätzt. Vellbruck hat sich zur Statik nicht explizit geäußert.</w:t>
      </w:r>
    </w:p>
    <w:p>
      <w:pPr>
        <w:jc w:val="left"/>
      </w:pPr>
      <w:r>
        <w:rPr>
          <w:b/>
        </w:rPr>
        <w:t>Dr. Tannenberg-Eichmueller:</w:t>
      </w:r>
      <w:r>
        <w:t xml:space="preserve"> § 287 ZPO gibt uns Spielraum. Die Beklagte hat den Statiker beauftragt; Statikfehler sind ihre Risikosphäre. 23% erscheint mir am oberen Rand, aber vertretbar.</w:t>
      </w:r>
    </w:p>
    <w:p>
      <w:pPr>
        <w:jc w:val="left"/>
      </w:pPr>
      <w:r>
        <w:t xml:space="preserve">Ergebnis: </w:t>
      </w:r>
      <w:r>
        <w:rPr>
          <w:b/>
        </w:rPr>
        <w:t>23% Mitverursachung, 2:1 (Wittfeldt skeptisch, aber einverstanden).</w:t>
      </w:r>
    </w:p>
    <w:p/>
    <w:p>
      <w:pPr>
        <w:pStyle w:val="Heading3"/>
      </w:pPr>
      <w:r>
        <w:rPr>
          <w:rFonts w:ascii="Times New Roman" w:hAnsi="Times New Roman"/>
        </w:rPr>
        <w:t>Streitpunkt 4: Vergleichsmöglichkeit</w:t>
      </w:r>
    </w:p>
    <w:p>
      <w:pPr>
        <w:jc w:val="left"/>
      </w:pPr>
      <w:r>
        <w:t>Die Kammer hat in der Verhandlung einen Vergleich EUR 40.000 vorgeschlagen. RAin Dr. Feldkötter-Haas hat abgelehnt. RA Prof. Dr. Osterhoff-Bram hatte kein Mandat. Kammer konstatiert: Parteien wollen Urteil.</w:t>
      </w:r>
    </w:p>
    <w:p/>
    <w:p>
      <w:pPr>
        <w:pStyle w:val="Heading3"/>
      </w:pPr>
      <w:r>
        <w:rPr>
          <w:rFonts w:ascii="Times New Roman" w:hAnsi="Times New Roman"/>
        </w:rPr>
        <w:t>Streitpunkt 5: Kostenquote</w:t>
      </w:r>
    </w:p>
    <w:p>
      <w:pPr>
        <w:jc w:val="left"/>
      </w:pPr>
      <w:r>
        <w:t>Rechnerisch 4% Klägerin / 96% Beklagte. Wittfeldt schlägt 10% / 90% vor, da Gerichtsgutachten EUR 22.000 und Klagekomplex komplex. Zustimmung.</w:t>
      </w:r>
    </w:p>
    <w:p/>
    <w:p>
      <w:pPr>
        <w:pStyle w:val="Heading2"/>
      </w:pPr>
      <w:r>
        <w:rPr>
          <w:rFonts w:ascii="Times New Roman" w:hAnsi="Times New Roman"/>
        </w:rPr>
        <w:t>Abstimmung Tenor (Variante A)</w:t>
      </w:r>
    </w:p>
    <w:p>
      <w:pPr>
        <w:jc w:val="left"/>
      </w:pPr>
      <w:r>
        <w:t xml:space="preserve">Alle drei Kammermitglieder: </w:t>
      </w:r>
      <w:r>
        <w:rPr>
          <w:b/>
        </w:rPr>
        <w:t>Ja zur Variante A (EUR 40.980, Kosten 10/90, Sicherheitsleistung 110%).</w:t>
      </w:r>
    </w:p>
    <w:p>
      <w:pPr>
        <w:jc w:val="left"/>
      </w:pPr>
      <w:r>
        <w:t xml:space="preserve">Urteilsverkündungstermin: </w:t>
      </w:r>
      <w:r>
        <w:rPr>
          <w:b/>
        </w:rPr>
        <w:t>08. Oktober 2026, 10:00 Uhr.</w:t>
      </w:r>
    </w:p>
    <w:p>
      <w:pPr>
        <w:jc w:val="left"/>
      </w:pPr>
      <w:r>
        <w:t>Erstinstanz: Dr. Tannenberg-Eichmueller.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