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22 — Checkliste Veröffentlichung Juris</w:t>
      </w:r>
    </w:p>
    <w:p>
      <w:pPr>
        <w:jc w:val="left"/>
      </w:pPr>
      <w:r>
        <w:rPr>
          <w:b/>
        </w:rPr>
        <w:t>AZ:</w:t>
      </w:r>
      <w:r>
        <w:t xml:space="preserve"> 8 O 188/26</w:t>
      </w:r>
    </w:p>
    <w:p>
      <w:pPr>
        <w:jc w:val="left"/>
      </w:pPr>
      <w:r>
        <w:rPr>
          <w:b/>
        </w:rPr>
        <w:t>Betreff:</w:t>
      </w:r>
      <w:r>
        <w:t xml:space="preserve"> Anonymisierung und Veröffentlichung Juris/ECLI-Datenbank</w:t>
      </w:r>
    </w:p>
    <w:p>
      <w:pPr>
        <w:jc w:val="left"/>
      </w:pPr>
      <w:r>
        <w:rPr>
          <w:b/>
        </w:rPr>
        <w:t>Datum:</w:t>
      </w:r>
      <w:r>
        <w:t xml:space="preserve"> 15.10.2026</w:t>
      </w:r>
    </w:p>
    <w:p/>
    <w:p>
      <w:pPr>
        <w:pStyle w:val="Heading2"/>
      </w:pPr>
      <w:r>
        <w:rPr>
          <w:rFonts w:ascii="Times New Roman" w:hAnsi="Times New Roman"/>
        </w:rPr>
        <w:t>I. Grundlage</w:t>
      </w:r>
    </w:p>
    <w:p>
      <w:pPr>
        <w:jc w:val="left"/>
      </w:pPr>
      <w:r>
        <w:t>Sachsen: Veröffentlichungspflicht nach § 14 SächsJG (Sächsisches Justizgesetz) i.V.m. Verwaltungsvorschrift des SMJUS 2021 (Veröffentlichung von Gerichtsentscheidungen). Juris-Einspielung über Landesjustizverwaltung.</w:t>
      </w:r>
    </w:p>
    <w:p/>
    <w:p>
      <w:pPr>
        <w:pStyle w:val="Heading2"/>
      </w:pPr>
      <w:r>
        <w:rPr>
          <w:rFonts w:ascii="Times New Roman" w:hAnsi="Times New Roman"/>
        </w:rPr>
        <w:t>II. Anonymisierungscheckliste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Personenname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Ersetzt durch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[ ]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Dr. Annegret Tannenberg-Eichmueller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Zu anonymisieren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VRiLG (Vors.)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[ ]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Dr. Roosendaal, RiLG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Zu anonymisieren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RiLG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[ ]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Wittfeldt, RAGr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Zu anonymisieren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RAGr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[ ]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Radarwarner GmbH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Zu anonymisieren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Klägerin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[ ]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Schreinmoor Bauträger AG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Zu anonymisieren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Beklagte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[ ]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RAin Dr. Feldkötter-Haas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Zu anonymisieren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Prozessbevollmächtigte Kl.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[ ]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RA Prof. Dr. Osterhoff-Bram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Zu anonymisieren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Prozessbevollmächtigter Bekl.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[ ]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Prof. Vellbruck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Zu anonymisieren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SV Prof. V.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[ ]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Dipl.-Ing. Pohlmann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Zu anonymisieren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Privat-SV P.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[ ]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Wilhelm Eickenmueller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Zu anonymisieren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Zeuge E.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[ ]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Thorsten Schwingenstein-Birkenhainer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Zu anonymisieren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Zeuge S.-B.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[ ]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Plagwitzer Allee 17–23, Leipzig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Zu anonymisieren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Grundstück in einer Großstadt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[ ]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Holzmarktstraße 12, Leipzig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Zu anonymisieren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Sitz Klägerin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[ ]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StA Leipzig 188 Js 4711/26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Zu anonymisieren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StA [Az. anonymisiert]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III. ECLI-Vergabe</w:t>
      </w:r>
    </w:p>
    <w:p>
      <w:pPr>
        <w:jc w:val="left"/>
      </w:pPr>
      <w:r>
        <w:rPr>
          <w:b/>
        </w:rPr>
        <w:t>ECLI:</w:t>
      </w:r>
      <w:r>
        <w:t xml:space="preserve"> ECLI:DE:LGLEG:2026:1008.8O188.26.0A</w:t>
      </w:r>
    </w:p>
    <w:p>
      <w:pPr>
        <w:jc w:val="left"/>
      </w:pPr>
      <w:r>
        <w:t>Format: ECLI:DE:[Gericht-Kürzel]:[JJJJ]:[TTMM].[AZ-Kurzform].[Instanz]</w:t>
      </w:r>
    </w:p>
    <w:p/>
    <w:p>
      <w:pPr>
        <w:pStyle w:val="Heading2"/>
      </w:pPr>
      <w:r>
        <w:rPr>
          <w:rFonts w:ascii="Times New Roman" w:hAnsi="Times New Roman"/>
        </w:rPr>
        <w:t>IV. Schlagworte (Juris-Klassifikation)</w:t>
      </w:r>
    </w:p>
    <w:p>
      <w:pPr>
        <w:pStyle w:val="ListBullet"/>
      </w:pPr>
      <w:r>
        <w:t>Werklohnklage; VOB/B; Abnahme § 12 VOB/B</w:t>
      </w:r>
    </w:p>
    <w:p>
      <w:pPr>
        <w:pStyle w:val="ListBullet"/>
      </w:pPr>
      <w:r>
        <w:t>Mangelbeseitigung § 13 VOB/B; Selbstvornahme; Sachverständigengutachten</w:t>
      </w:r>
    </w:p>
    <w:p>
      <w:pPr>
        <w:pStyle w:val="ListBullet"/>
      </w:pPr>
      <w:r>
        <w:t>Hilfsaufrechnung § 387 BGB; Verjährung § 634a BGB; Kostenentscheidung § 92 ZPO</w:t>
      </w:r>
    </w:p>
    <w:p>
      <w:pPr>
        <w:pStyle w:val="ListBullet"/>
      </w:pPr>
      <w:r>
        <w:t>WU-Beton; Bewehrungsabweichung; freie Beweiswürdigung § 286 ZPO</w:t>
      </w:r>
    </w:p>
    <w:p/>
    <w:p>
      <w:pPr>
        <w:pStyle w:val="Heading2"/>
      </w:pPr>
      <w:r>
        <w:rPr>
          <w:rFonts w:ascii="Times New Roman" w:hAnsi="Times New Roman"/>
        </w:rPr>
        <w:t>V. Leitsatz-Entwurf</w:t>
      </w:r>
    </w:p>
    <w:p>
      <w:pPr>
        <w:ind w:left="567"/>
      </w:pPr>
      <w:r>
        <w:rPr>
          <w:i/>
        </w:rPr>
        <w:t>1. Bei wirksamer Einbeziehung der VOB/B als Ganzes gilt die 4-jährige Verjährungsfrist des § 13 Nr. 4 VOB/B auch dann, wenn einzelne Vergütungsregelungen individualvertraglich abgeändert wurden, sofern die Abweichungen den Kern der VOB/B-Regelung nicht berühren.</w:t>
      </w:r>
    </w:p>
    <w:p>
      <w:pPr>
        <w:ind w:left="567"/>
      </w:pPr>
    </w:p>
    <w:p>
      <w:pPr>
        <w:ind w:left="567"/>
      </w:pPr>
      <w:r>
        <w:rPr>
          <w:i/>
        </w:rPr>
        <w:t>2. Weicht der gerichtlich bestellte Sachverständige von der Methodik des Privatgutachters ab, hat das Gericht die Methodik im Rahmen der freien Beweiswürdigung (§ 286 ZPO) zu bewerten; ein Bewehrungscontrolling mit Ferroscan-Gerät und Freilegungen ist einer rein visuellen Kontrolle vorzuziehen.</w:t>
      </w:r>
    </w:p>
    <w:p>
      <w:pPr>
        <w:ind w:left="567"/>
      </w:pPr>
    </w:p>
    <w:p>
      <w:pPr>
        <w:ind w:left="567"/>
      </w:pPr>
      <w:r>
        <w:rPr>
          <w:i/>
        </w:rPr>
        <w:t>3. Der Mitverursachungsanteil des Bestellers wegen Fehler des von ihm beauftragten Statikers kann im Rahmen der Kostenschätzung nach § 287 ZPO auf bis zu 23% geschätzt werden.</w:t>
      </w:r>
    </w:p>
    <w:p/>
    <w:p>
      <w:pPr>
        <w:pStyle w:val="Heading2"/>
      </w:pPr>
      <w:r>
        <w:rPr>
          <w:rFonts w:ascii="Times New Roman" w:hAnsi="Times New Roman"/>
        </w:rPr>
        <w:t>VI. Freigabe</w:t>
      </w:r>
    </w:p>
    <w:p>
      <w:pPr>
        <w:jc w:val="left"/>
      </w:pPr>
      <w:r>
        <w:t>Freigabe zur Juris-Einspielung nach:</w:t>
      </w:r>
    </w:p>
    <w:p>
      <w:pPr>
        <w:pStyle w:val="ListBullet"/>
      </w:pPr>
      <w:r>
        <w:t>[ ] Anonymisierung vollständig geprüft (Vorsitzende)</w:t>
      </w:r>
    </w:p>
    <w:p>
      <w:pPr>
        <w:pStyle w:val="ListBullet"/>
      </w:pPr>
      <w:r>
        <w:t>[ ] Leitsätze freigegeben (VRiLG)</w:t>
      </w:r>
    </w:p>
    <w:p>
      <w:pPr>
        <w:pStyle w:val="ListBullet"/>
      </w:pPr>
      <w:r>
        <w:t>[ ] Technische Einspielung Landesjustizverwaltung Sachsen</w:t>
      </w:r>
    </w:p>
    <w:p>
      <w:pPr>
        <w:jc w:val="left"/>
      </w:pPr>
      <w:r>
        <w:t>Frist: 30.11.2026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