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Anhang — Vorprozess OLG Dresden 18 U 14/24</w:t>
      </w:r>
    </w:p>
    <w:p>
      <w:pPr>
        <w:jc w:val="left"/>
      </w:pPr>
      <w:r>
        <w:rPr>
          <w:b/>
        </w:rPr>
        <w:t>AZ:</w:t>
      </w:r>
      <w:r>
        <w:t xml:space="preserve"> 8 O 188/26</w:t>
      </w:r>
    </w:p>
    <w:p>
      <w:pPr>
        <w:jc w:val="left"/>
      </w:pPr>
      <w:r>
        <w:rPr>
          <w:b/>
        </w:rPr>
        <w:t>Betreff:</w:t>
      </w:r>
      <w:r>
        <w:t xml:space="preserve"> Bindungswirkung des OLG-Urteils 18 U 14/24 für das Hauptverfahren</w:t>
      </w:r>
    </w:p>
    <w:p/>
    <w:p>
      <w:pPr>
        <w:pStyle w:val="Heading2"/>
      </w:pPr>
      <w:r>
        <w:rPr>
          <w:rFonts w:ascii="Times New Roman" w:hAnsi="Times New Roman"/>
        </w:rPr>
        <w:t>Vorprozess OLG Dresden 18 U 14/24</w:t>
      </w:r>
    </w:p>
    <w:p>
      <w:pPr>
        <w:jc w:val="left"/>
      </w:pPr>
      <w:r>
        <w:t>Das Oberlandesgericht Dresden hatte im Verfahren 18 U 14/24 (Berufung gegen ein Urteil des LG Dresden) über einen Teilkomplex der Schlussrechnung zwischen den Parteien zu entscheiden. Das Verfahren war eingeleitet worden, weil die Beklagte die Prüfbarkeit der Klägerin-Schlussrechnung bestritt und eine Abschlagskürzung vornahm.</w:t>
      </w:r>
    </w:p>
    <w:p>
      <w:pPr>
        <w:pStyle w:val="Heading3"/>
      </w:pPr>
      <w:r>
        <w:rPr>
          <w:rFonts w:ascii="Times New Roman" w:hAnsi="Times New Roman"/>
        </w:rPr>
        <w:t>Gegenstand des Vorprozesses</w:t>
      </w:r>
    </w:p>
    <w:p>
      <w:pPr>
        <w:jc w:val="left"/>
      </w:pPr>
      <w:r>
        <w:t>Das OLG hatte zu entscheiden:</w:t>
      </w:r>
    </w:p>
    <w:p>
      <w:pPr>
        <w:pStyle w:val="ListNumber"/>
      </w:pPr>
      <w:r>
        <w:t>Ob die Schlussrechnung der Klägerin nach VOB/B § 14 Nr. 1 prüfbar erstellt wurde.</w:t>
      </w:r>
    </w:p>
    <w:p>
      <w:pPr>
        <w:pStyle w:val="ListNumber"/>
      </w:pPr>
      <w:r>
        <w:t>Ob die Einheitspreise in den Positionen 7.2 (Betonarbeiten Keller) und 12.4 (Bewehrungsarbeiten) dem Vertrag entsprechen.</w:t>
      </w:r>
    </w:p>
    <w:p>
      <w:pPr>
        <w:pStyle w:val="Heading3"/>
      </w:pPr>
      <w:r>
        <w:rPr>
          <w:rFonts w:ascii="Times New Roman" w:hAnsi="Times New Roman"/>
        </w:rPr>
        <w:t>Ergebnis OLG Dresden</w:t>
      </w:r>
    </w:p>
    <w:p>
      <w:pPr>
        <w:jc w:val="left"/>
      </w:pPr>
      <w:r>
        <w:t>Urteil vom 12. November 2025 (teilrechtskräftig):</w:t>
      </w:r>
    </w:p>
    <w:p>
      <w:pPr>
        <w:pStyle w:val="ListBullet"/>
      </w:pPr>
      <w:r>
        <w:t>Die Schlussrechnung ist prüfbar. (rechtskräftig)</w:t>
      </w:r>
    </w:p>
    <w:p>
      <w:pPr>
        <w:pStyle w:val="ListBullet"/>
      </w:pPr>
      <w:r>
        <w:t>Die Einheitspreise der Positionen 7.2 und 12.4 entsprechen dem Vertrag. (rechtskräftig hinsichtlich Pos. 7.2; Pos. 12.4 Revision zum BGH anhängig)</w:t>
      </w:r>
    </w:p>
    <w:p>
      <w:pPr>
        <w:pStyle w:val="Heading3"/>
      </w:pPr>
      <w:r>
        <w:rPr>
          <w:rFonts w:ascii="Times New Roman" w:hAnsi="Times New Roman"/>
        </w:rPr>
        <w:t>Bindungswirkung im vorliegenden Verfahren</w:t>
      </w:r>
    </w:p>
    <w:p>
      <w:pPr>
        <w:pStyle w:val="Heading3"/>
      </w:pPr>
      <w:r>
        <w:rPr>
          <w:rFonts w:ascii="Times New Roman" w:hAnsi="Times New Roman"/>
        </w:rPr>
        <w:t>Rechtskräftige Feststellungen (§ 322 ZPO)</w:t>
      </w:r>
    </w:p>
    <w:p>
      <w:pPr>
        <w:jc w:val="left"/>
      </w:pPr>
      <w:r>
        <w:t>Die rechtskräftigen Feststellungen des OLG zur Prüfbarkeit der Schlussrechnung und zu den Einheitspreisen Position 7.2 entfalten materielle Rechtskraft zwischen denselben Parteien. Im vorliegenden Verfahren kann die Beklagte diese Fragen nicht erneut aufwerfen.</w:t>
      </w:r>
    </w:p>
    <w:p>
      <w:pPr>
        <w:pStyle w:val="Heading3"/>
      </w:pPr>
      <w:r>
        <w:rPr>
          <w:rFonts w:ascii="Times New Roman" w:hAnsi="Times New Roman"/>
        </w:rPr>
        <w:t>Offene Frage Position 12.4</w:t>
      </w:r>
    </w:p>
    <w:p>
      <w:pPr>
        <w:jc w:val="left"/>
      </w:pPr>
      <w:r>
        <w:t>Die Revision zum BGH (VII ZR 112/25) ist noch anhängig. Sollte der BGH zugunsten der Beklagten entscheiden, würde sich der Klagbetrag um den strittigen Betrag (ca. EUR 24.000) reduzieren. Die Kammer geht im Urteil vom 08.10.2026 von der aktuellen OLG-Rechtslage aus; eine etwaige BGH-Entscheidung wäre im Rahmen einer Abänderungsklage oder Vollstreckungsgegenklage geltend zu machen.</w:t>
      </w:r>
    </w:p>
    <w:p/>
    <w:p>
      <w:pPr>
        <w:pStyle w:val="Heading2"/>
      </w:pPr>
      <w:r>
        <w:rPr>
          <w:rFonts w:ascii="Times New Roman" w:hAnsi="Times New Roman"/>
        </w:rPr>
        <w:t>Relevanz für Verjährungsfrage</w:t>
      </w:r>
    </w:p>
    <w:p>
      <w:pPr>
        <w:jc w:val="left"/>
      </w:pPr>
      <w:r>
        <w:t>Das Vorprozessurteil betrifft die Schlussrechnung, nicht die Mängelansprüche. Eine Hemmung der Verjährung der Mängelansprüche durch den Vorprozess ist nicht eingetreten (§ 204 BGB nicht erfüllt für Mängelposition).</w:t>
      </w:r>
    </w:p>
    <w:p/>
    <w:p>
      <w:pPr>
        <w:pStyle w:val="Heading2"/>
      </w:pPr>
      <w:r>
        <w:rPr>
          <w:rFonts w:ascii="Times New Roman" w:hAnsi="Times New Roman"/>
        </w:rPr>
        <w:t>Fazit</w:t>
      </w:r>
    </w:p>
    <w:p>
      <w:pPr>
        <w:jc w:val="left"/>
      </w:pPr>
      <w:r>
        <w:t>Der Vorprozess OLG Dresden 18 U 14/24 stärkt die Klageposition der Klägerin hinsichtlich der Fälligkeit der Schlussrechnungsforderung. Die im Hauptverfahren relevante Aufrechnungs- und Mängelfrage ist dagegen eigenständig zu entscheiden und wird vom OLG-Urteil nicht erfasst.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