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Deal Cockpit Nebelstern Ventures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Startup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Instrument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Ticket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Kognitix Flow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Pre-Seed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Wandeldarlehen mit Cap/Discount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250.000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Soft Commit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Cap Table und IP-Chain anfordern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KI-Trainingsdaten, SAFE-Template unpassend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Greifarm Robotics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Series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Equity, preferred economics vertraglich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Term Sheet Review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Lead-Call, Notartermin, FDI prüfen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Hardware-Risiko, Export/Dual Use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Moosstrom Speicher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Bridge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Insider Bridge / Down Round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600.000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Follow-on-IC am Freitag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Runway 9 Wochen, Altinvestor blockiert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Arbeitsmodus</w:t>
      </w:r>
    </w:p>
    <w:p>
      <w:pPr>
        <w:jc w:val="left"/>
      </w:pPr>
      <w:r>
        <w:t>Nebelstern Ventures ist kein großer Fonds, sondern ein Family-Office-nahes Vehikel mit mehreren vermögenden Zeichnern, Co-Investoren und einem jungen Deal-Team. Genau deshalb muss jede Zusage in ein Aufgaben- und Reminder-System. Niemand darf sich darauf verlassen, dass der Partner sich nach drei Wochen noch erinnert, welche Founder welches KPI-Paket schuldeten.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