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Investmentthese Family Office</w:t>
      </w:r>
    </w:p>
    <w:p>
      <w:pPr>
        <w:jc w:val="left"/>
      </w:pPr>
      <w:r>
        <w:t>Nebelstern investiert in deutsche und europäische B2B-Technologie mit klarer IP-Position, nachvollziehbarem Kundennutzen und Exit-Fähigkeit an strategische Käufer. Bevorzugt werden Tickets zwischen 150.000 EUR und 1,5 Mio. EUR, oft als Co-Investment neben einem Lead. Das Family Office will nicht operativ führen, aber sehr gute Informationsrechte, pro-rata-Rechte und einen sauberen Follow-on-Plan.</w:t>
      </w:r>
    </w:p>
    <w:p>
      <w:pPr>
        <w:pStyle w:val="Heading2"/>
      </w:pPr>
      <w:r>
        <w:rPr>
          <w:rFonts w:ascii="Times New Roman" w:hAnsi="Times New Roman"/>
        </w:rPr>
        <w:t>Rote Linien</w:t>
      </w:r>
    </w:p>
    <w:p>
      <w:pPr>
        <w:pStyle w:val="ListBullet"/>
      </w:pPr>
      <w:r>
        <w:t>Keine ungeklärte KAGB-/Fondsstruktur, wenn Geld mehrerer Dritter gepoolt wird.</w:t>
      </w:r>
    </w:p>
    <w:p>
      <w:pPr>
        <w:pStyle w:val="ListBullet"/>
      </w:pPr>
      <w:r>
        <w:t>Keine Deals mit unklarer Mittelherkunft, sanktionierten UBOs oder politisch toxischen Co-Investoren.</w:t>
      </w:r>
    </w:p>
    <w:p>
      <w:pPr>
        <w:pStyle w:val="ListBullet"/>
      </w:pPr>
      <w:r>
        <w:t>Keine KI-Startups ohne Daten- und IP-Prüfung.</w:t>
      </w:r>
    </w:p>
    <w:p>
      <w:pPr>
        <w:pStyle w:val="ListBullet"/>
      </w:pPr>
      <w:r>
        <w:t>Keine Hardware-Deals ohne Milestone- und Kapitalbedarfsrealismus.</w:t>
      </w:r>
    </w:p>
    <w:p>
      <w:pPr>
        <w:pStyle w:val="ListBullet"/>
      </w:pPr>
      <w:r>
        <w:t>Keine aggressiven Herausdrängungsstrategien, die treuwidrig oder reputationsschädlich wirken.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